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9FDC">
      <w:pPr>
        <w:jc w:val="left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附件</w:t>
      </w:r>
      <w:r>
        <w:rPr>
          <w:rFonts w:hint="eastAsia" w:ascii="Times New Roman" w:hAnsi="Times New Roman" w:cs="Times New Roman"/>
          <w:b/>
          <w:bCs/>
          <w:sz w:val="28"/>
          <w:szCs w:val="32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32"/>
        </w:rPr>
        <w:t>：</w:t>
      </w:r>
    </w:p>
    <w:p w14:paraId="43A9F242">
      <w:pPr>
        <w:jc w:val="center"/>
        <w:rPr>
          <w:rFonts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hint="eastAsia" w:ascii="小标宋" w:eastAsia="小标宋"/>
          <w:b/>
          <w:bCs/>
          <w:sz w:val="36"/>
          <w:szCs w:val="40"/>
          <w:highlight w:val="none"/>
        </w:rPr>
      </w:pPr>
      <w:r>
        <w:rPr>
          <w:rFonts w:hint="eastAsia" w:ascii="小标宋" w:eastAsia="小标宋"/>
          <w:b/>
          <w:bCs/>
          <w:sz w:val="36"/>
          <w:szCs w:val="40"/>
        </w:rPr>
        <w:t>第15届市调大赛竞赛方式、计分方式</w:t>
      </w:r>
      <w:r>
        <w:rPr>
          <w:rFonts w:hint="eastAsia" w:ascii="小标宋" w:eastAsia="小标宋"/>
          <w:b/>
          <w:bCs/>
          <w:sz w:val="36"/>
          <w:szCs w:val="40"/>
          <w:highlight w:val="none"/>
        </w:rPr>
        <w:t>及报告评审说明</w:t>
      </w:r>
    </w:p>
    <w:p w14:paraId="58FE1CF0">
      <w:pPr>
        <w:jc w:val="center"/>
        <w:rPr>
          <w:rFonts w:hint="default" w:ascii="小标宋" w:eastAsia="小标宋"/>
          <w:b/>
          <w:bCs/>
          <w:sz w:val="36"/>
          <w:szCs w:val="40"/>
          <w:highlight w:val="none"/>
          <w:lang w:val="en-US" w:eastAsia="zh-CN"/>
        </w:rPr>
      </w:pPr>
      <w:r>
        <w:rPr>
          <w:rFonts w:hint="eastAsia" w:ascii="小标宋" w:eastAsia="小标宋"/>
          <w:b/>
          <w:bCs/>
          <w:sz w:val="36"/>
          <w:szCs w:val="40"/>
          <w:highlight w:val="none"/>
          <w:lang w:eastAsia="zh-CN"/>
        </w:rPr>
        <w:t>（</w:t>
      </w:r>
      <w:r>
        <w:rPr>
          <w:rFonts w:hint="eastAsia" w:ascii="小标宋" w:eastAsia="小标宋"/>
          <w:b/>
          <w:bCs/>
          <w:sz w:val="36"/>
          <w:szCs w:val="40"/>
          <w:highlight w:val="none"/>
          <w:lang w:val="en-US" w:eastAsia="zh-CN"/>
        </w:rPr>
        <w:t>在华留学生组）</w:t>
      </w:r>
    </w:p>
    <w:p w14:paraId="5D084BDF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一、校赛</w:t>
      </w:r>
    </w:p>
    <w:p w14:paraId="22538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“报告+PPT”</w:t>
      </w:r>
      <w:r>
        <w:rPr>
          <w:rFonts w:hint="eastAsia" w:ascii="仿宋" w:hAnsi="仿宋" w:eastAsia="仿宋"/>
          <w:sz w:val="32"/>
          <w:szCs w:val="32"/>
        </w:rPr>
        <w:t>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</w:t>
      </w:r>
      <w:r>
        <w:rPr>
          <w:rFonts w:hint="eastAsia" w:ascii="仿宋" w:hAnsi="仿宋" w:eastAsia="仿宋"/>
          <w:sz w:val="32"/>
          <w:szCs w:val="32"/>
        </w:rPr>
        <w:t>报告满分100分，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在华留学生</w:t>
      </w:r>
      <w:r>
        <w:rPr>
          <w:rFonts w:hint="eastAsia" w:ascii="仿宋" w:hAnsi="仿宋" w:eastAsia="仿宋"/>
          <w:sz w:val="32"/>
          <w:szCs w:val="32"/>
        </w:rPr>
        <w:t>组报告打分表附后；PPT满分100分，主要看展示文件水平，重点是逻辑清晰、故事性强等。</w:t>
      </w:r>
    </w:p>
    <w:p w14:paraId="15A1C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报告正文不超过2万字，正文不含摘要、目录、附录等正文以外的补充信息。超出1万字以内扣2分；超出1万字以上扣3分。</w:t>
      </w:r>
    </w:p>
    <w:p w14:paraId="29B748C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 w:firstLine="640" w:firstLineChars="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“报告+现场展示答辩”</w:t>
      </w:r>
      <w:r>
        <w:rPr>
          <w:rFonts w:hint="eastAsia" w:ascii="仿宋" w:hAnsi="仿宋" w:eastAsia="仿宋"/>
          <w:sz w:val="32"/>
          <w:szCs w:val="32"/>
        </w:rPr>
        <w:t>方式的，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</w:t>
      </w:r>
      <w:r>
        <w:rPr>
          <w:rFonts w:hint="eastAsia" w:ascii="仿宋" w:hAnsi="仿宋" w:eastAsia="仿宋"/>
          <w:b/>
          <w:color w:val="0000FF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报告满分1</w:t>
      </w:r>
      <w:r>
        <w:rPr>
          <w:rFonts w:ascii="仿宋" w:hAnsi="仿宋" w:eastAsia="仿宋"/>
          <w:b w:val="0"/>
          <w:bCs w:val="0"/>
          <w:sz w:val="32"/>
          <w:szCs w:val="32"/>
        </w:rPr>
        <w:t>00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分，打分点见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在华留学生组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报告打分表。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 w14:paraId="0E24A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现场展示及答辩满分1</w:t>
      </w:r>
      <w:r>
        <w:rPr>
          <w:rFonts w:ascii="仿宋" w:hAnsi="仿宋" w:eastAsia="仿宋"/>
          <w:b w:val="0"/>
          <w:bCs w:val="0"/>
          <w:sz w:val="32"/>
          <w:szCs w:val="32"/>
        </w:rPr>
        <w:t>00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分，打分点：展示生动、逻辑</w:t>
      </w:r>
      <w:r>
        <w:rPr>
          <w:rFonts w:hint="eastAsia" w:ascii="仿宋" w:hAnsi="仿宋" w:eastAsia="仿宋"/>
          <w:sz w:val="32"/>
          <w:szCs w:val="32"/>
        </w:rPr>
        <w:t>性强、语言简炼、表达清晰、正确回答评委问题。</w:t>
      </w:r>
    </w:p>
    <w:p w14:paraId="7F974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ind w:firstLine="643" w:firstLineChars="200"/>
        <w:jc w:val="both"/>
        <w:textAlignment w:val="auto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初赛</w:t>
      </w:r>
    </w:p>
    <w:p w14:paraId="0A6E9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3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sz w:val="32"/>
          <w:szCs w:val="32"/>
          <w:lang w:eastAsia="zh-CN"/>
        </w:rPr>
        <w:t>在华留学生组</w:t>
      </w:r>
      <w:r>
        <w:rPr>
          <w:rFonts w:hint="eastAsia" w:ascii="仿宋" w:hAnsi="仿宋" w:eastAsia="仿宋"/>
          <w:sz w:val="32"/>
          <w:szCs w:val="32"/>
        </w:rPr>
        <w:t>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10527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ind w:firstLine="643" w:firstLineChars="200"/>
        <w:jc w:val="both"/>
        <w:textAlignment w:val="auto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</w:t>
      </w:r>
      <w:r>
        <w:rPr>
          <w:rFonts w:ascii="仿宋" w:hAnsi="仿宋" w:eastAsia="仿宋"/>
          <w:sz w:val="32"/>
          <w:szCs w:val="36"/>
        </w:rPr>
        <w:t>，正文不含摘要</w:t>
      </w:r>
      <w:r>
        <w:rPr>
          <w:rFonts w:hint="eastAsia" w:ascii="仿宋" w:hAnsi="仿宋" w:eastAsia="仿宋"/>
          <w:sz w:val="32"/>
          <w:szCs w:val="36"/>
        </w:rPr>
        <w:t>、目录、</w:t>
      </w:r>
      <w:r>
        <w:rPr>
          <w:rFonts w:ascii="仿宋" w:hAnsi="仿宋" w:eastAsia="仿宋"/>
          <w:sz w:val="32"/>
          <w:szCs w:val="36"/>
        </w:rPr>
        <w:t>附录</w:t>
      </w:r>
      <w:r>
        <w:rPr>
          <w:rFonts w:hint="eastAsia" w:ascii="仿宋" w:hAnsi="仿宋" w:eastAsia="仿宋"/>
          <w:sz w:val="32"/>
          <w:szCs w:val="36"/>
        </w:rPr>
        <w:t>等正文以外的补充信息</w:t>
      </w:r>
      <w:r>
        <w:rPr>
          <w:rFonts w:ascii="仿宋" w:hAnsi="仿宋" w:eastAsia="仿宋"/>
          <w:sz w:val="32"/>
          <w:szCs w:val="36"/>
        </w:rPr>
        <w:t>。超出1万字以内扣2分；超出1万字以上扣3分。</w:t>
      </w:r>
    </w:p>
    <w:p w14:paraId="36192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left="-6" w:firstLine="643" w:firstLineChars="200"/>
        <w:jc w:val="both"/>
        <w:textAlignment w:val="auto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三、</w:t>
      </w:r>
      <w:r>
        <w:rPr>
          <w:rFonts w:hint="eastAsia" w:ascii="仿宋" w:hAnsi="仿宋" w:eastAsia="仿宋"/>
          <w:b/>
          <w:bCs/>
          <w:sz w:val="32"/>
          <w:szCs w:val="32"/>
        </w:rPr>
        <w:t>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决赛</w:t>
      </w:r>
    </w:p>
    <w:p w14:paraId="2CE57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1955A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注1：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报告满分1</w:t>
      </w:r>
      <w:r>
        <w:rPr>
          <w:rFonts w:ascii="仿宋" w:hAnsi="仿宋" w:eastAsia="仿宋"/>
          <w:b w:val="0"/>
          <w:bCs w:val="0"/>
          <w:sz w:val="32"/>
          <w:szCs w:val="32"/>
        </w:rPr>
        <w:t>00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分，打分点见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在华留学生组</w:t>
      </w:r>
      <w:r>
        <w:rPr>
          <w:rFonts w:hint="eastAsia" w:ascii="仿宋" w:hAnsi="仿宋" w:eastAsia="仿宋"/>
          <w:sz w:val="32"/>
          <w:szCs w:val="32"/>
        </w:rPr>
        <w:t xml:space="preserve">报告打分表。 </w:t>
      </w:r>
    </w:p>
    <w:p w14:paraId="6B668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注2：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现场展示及答辩满分1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76931D5">
      <w:pPr>
        <w:jc w:val="center"/>
        <w:rPr>
          <w:rFonts w:hint="eastAsia"/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br w:type="page"/>
      </w:r>
    </w:p>
    <w:tbl>
      <w:tblPr>
        <w:tblStyle w:val="4"/>
        <w:tblW w:w="9480" w:type="dxa"/>
        <w:tblInd w:w="56" w:type="dxa"/>
        <w:shd w:val="clear" w:color="auto" w:fill="D3F4F1" w:themeFill="accent5" w:themeFillTint="33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395"/>
        <w:gridCol w:w="6555"/>
        <w:gridCol w:w="765"/>
      </w:tblGrid>
      <w:tr w14:paraId="6CB15F85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65" w:type="dxa"/>
          <w:trHeight w:val="396" w:hRule="atLeast"/>
        </w:trPr>
        <w:tc>
          <w:tcPr>
            <w:tcW w:w="8715" w:type="dxa"/>
            <w:gridSpan w:val="3"/>
            <w:tcBorders>
              <w:top w:val="single" w:color="FFFFFF" w:sz="8" w:space="0"/>
              <w:left w:val="single" w:color="FFFFFF" w:sz="8" w:space="0"/>
              <w:bottom w:val="single" w:color="000000" w:sz="8" w:space="0"/>
              <w:right w:val="single" w:color="FFFFFF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65886">
            <w:pPr>
              <w:jc w:val="center"/>
              <w:rPr>
                <w:b/>
                <w:bCs/>
                <w:sz w:val="36"/>
                <w:szCs w:val="40"/>
              </w:rPr>
            </w:pPr>
            <w:r>
              <w:rPr>
                <w:rFonts w:hint="eastAsia"/>
                <w:b/>
                <w:bCs/>
                <w:sz w:val="36"/>
                <w:szCs w:val="40"/>
              </w:rPr>
              <w:t>在华留学生</w:t>
            </w:r>
            <w:r>
              <w:rPr>
                <w:b/>
                <w:bCs/>
                <w:sz w:val="36"/>
                <w:szCs w:val="40"/>
              </w:rPr>
              <w:t>组</w:t>
            </w:r>
            <w:r>
              <w:rPr>
                <w:rFonts w:hint="eastAsia"/>
                <w:b/>
                <w:bCs/>
                <w:sz w:val="36"/>
                <w:szCs w:val="40"/>
              </w:rPr>
              <w:t>报告</w:t>
            </w:r>
            <w:r>
              <w:rPr>
                <w:b/>
                <w:bCs/>
                <w:sz w:val="36"/>
                <w:szCs w:val="40"/>
              </w:rPr>
              <w:t>打分表</w:t>
            </w:r>
          </w:p>
          <w:p w14:paraId="3E9EC9D2">
            <w:pPr>
              <w:jc w:val="center"/>
              <w:rPr>
                <w:sz w:val="28"/>
                <w:szCs w:val="32"/>
              </w:rPr>
            </w:pPr>
          </w:p>
        </w:tc>
      </w:tr>
      <w:tr w14:paraId="74930A3E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A502C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序号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2A6A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打分项目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18DC5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评价指标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8A4B3">
            <w:pPr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得分</w:t>
            </w:r>
          </w:p>
        </w:tc>
      </w:tr>
      <w:tr w14:paraId="3A4DD3F0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CD499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4D6F6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研究选题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76BFE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选题新颖，有实际应用价值。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6B3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10</w:t>
            </w:r>
          </w:p>
        </w:tc>
      </w:tr>
      <w:tr w14:paraId="2DD1BEF4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864D8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1975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文献研究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7115C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选择与选题有关的文献和方案研究。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1D7D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</w:tr>
      <w:tr w14:paraId="76059E63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74F6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3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F4963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方案设计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F42AA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方案设计具有完整性、科学性、合理性和可行性。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D5C9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0F0B5B49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A292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4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8F037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调查实施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45947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调查组织科学合理，调查过程完整、清晰，数据处理严谨，调查质量控制有效。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1D6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20</w:t>
            </w:r>
          </w:p>
        </w:tc>
      </w:tr>
      <w:tr w14:paraId="6A8842B7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9B1F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C741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分析与结论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F8FA0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数据运用充分，分析方法科学合理，支持结论，建议具有可操作性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58FBF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41E0C36D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44665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6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D3C7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报告文本</w:t>
            </w:r>
          </w:p>
        </w:tc>
        <w:tc>
          <w:tcPr>
            <w:tcW w:w="65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4E49D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逻辑清晰，格式规范，文本精炼，图文生动，可读性强。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336F9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15</w:t>
            </w:r>
          </w:p>
        </w:tc>
      </w:tr>
      <w:tr w14:paraId="7A17B9D5">
        <w:tblPrEx>
          <w:shd w:val="clear" w:color="auto" w:fill="D3F4F1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605A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8</w:t>
            </w:r>
          </w:p>
        </w:tc>
        <w:tc>
          <w:tcPr>
            <w:tcW w:w="79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509A6">
            <w:pPr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合计得分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3F4F1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027E8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1</w:t>
            </w:r>
            <w:r>
              <w:rPr>
                <w:b/>
                <w:bCs/>
                <w:sz w:val="28"/>
                <w:szCs w:val="32"/>
              </w:rPr>
              <w:t>00</w:t>
            </w:r>
          </w:p>
        </w:tc>
      </w:tr>
    </w:tbl>
    <w:p w14:paraId="7B411650"/>
    <w:tbl>
      <w:tblPr>
        <w:tblStyle w:val="4"/>
        <w:tblW w:w="1023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0"/>
      </w:tblGrid>
      <w:tr w14:paraId="3EF93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E9F0C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kern w:val="0"/>
                <w:sz w:val="32"/>
                <w:szCs w:val="32"/>
                <w:lang w:bidi="ar"/>
              </w:rPr>
              <w:t>注：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bidi="ar"/>
              </w:rPr>
              <w:t>起评75分,最高不超过95分。</w:t>
            </w:r>
          </w:p>
        </w:tc>
      </w:tr>
      <w:tr w14:paraId="5B09A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0A1D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</w:tbl>
    <w:p w14:paraId="39ABF322">
      <w:pPr>
        <w:jc w:val="center"/>
        <w:rPr>
          <w:b/>
          <w:bCs/>
          <w:sz w:val="40"/>
          <w:szCs w:val="44"/>
        </w:rPr>
      </w:pPr>
    </w:p>
    <w:p w14:paraId="149B3380">
      <w:pPr>
        <w:jc w:val="center"/>
        <w:rPr>
          <w:b/>
          <w:bCs/>
          <w:sz w:val="40"/>
          <w:szCs w:val="44"/>
        </w:rPr>
      </w:pPr>
    </w:p>
    <w:p w14:paraId="2113684E">
      <w:pPr>
        <w:jc w:val="center"/>
        <w:rPr>
          <w:b/>
          <w:bCs/>
          <w:sz w:val="40"/>
          <w:szCs w:val="44"/>
        </w:rPr>
      </w:pPr>
    </w:p>
    <w:p w14:paraId="15F8834F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6BA56C83">
      <w:pPr>
        <w:jc w:val="center"/>
        <w:rPr>
          <w:b/>
          <w:bCs/>
          <w:sz w:val="40"/>
          <w:szCs w:val="44"/>
        </w:rPr>
      </w:pPr>
    </w:p>
    <w:p w14:paraId="7E483CE9">
      <w:pPr>
        <w:spacing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一、研究选题</w:t>
      </w:r>
    </w:p>
    <w:p w14:paraId="58EE6515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285A53AD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1.题目设计</w:t>
      </w:r>
    </w:p>
    <w:p w14:paraId="33DF886F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rFonts w:hint="eastAsia"/>
          <w:sz w:val="28"/>
          <w:szCs w:val="32"/>
        </w:rPr>
        <w:t>——选题新颖，有实际应用价值。</w:t>
      </w:r>
    </w:p>
    <w:p w14:paraId="101CBA3D">
      <w:pPr>
        <w:spacing w:line="360" w:lineRule="auto"/>
        <w:ind w:firstLine="840" w:firstLineChars="300"/>
        <w:rPr>
          <w:rFonts w:asciiTheme="majorEastAsia" w:hAnsiTheme="majorEastAsia" w:eastAsiaTheme="majorEastAsia"/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建议选题宜小不宜大，以便于组织调查和研究。</w:t>
      </w:r>
    </w:p>
    <w:p w14:paraId="397561D8">
      <w:pPr>
        <w:spacing w:line="360" w:lineRule="auto"/>
        <w:ind w:firstLine="840" w:firstLineChars="300"/>
        <w:rPr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题</w:t>
      </w:r>
      <w:r>
        <w:rPr>
          <w:rFonts w:hint="eastAsia"/>
          <w:sz w:val="28"/>
          <w:szCs w:val="32"/>
        </w:rPr>
        <w:t>目文字不宜冗长，要精炼，准确表意。</w:t>
      </w:r>
    </w:p>
    <w:p w14:paraId="131DBCA0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2.题目来源</w:t>
      </w:r>
    </w:p>
    <w:p w14:paraId="31380FFC">
      <w:pPr>
        <w:spacing w:line="540" w:lineRule="exact"/>
        <w:ind w:firstLine="840" w:firstLineChars="3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——</w:t>
      </w:r>
      <w:r>
        <w:rPr>
          <w:rFonts w:hint="eastAsia" w:ascii="宋体" w:hAnsi="宋体" w:eastAsia="宋体"/>
          <w:sz w:val="28"/>
          <w:szCs w:val="32"/>
        </w:rPr>
        <w:t>来自企业或实际工作部门的选题。</w:t>
      </w:r>
    </w:p>
    <w:p w14:paraId="7553799E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——来自地方政府社会经济发展的有关选题。</w:t>
      </w:r>
    </w:p>
    <w:p w14:paraId="72892F49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——来自指导教师科研项目的衍生调研项目。</w:t>
      </w:r>
    </w:p>
    <w:p w14:paraId="6E4D39F1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——学生自主选题。</w:t>
      </w:r>
    </w:p>
    <w:p w14:paraId="733B69C6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3F358E08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二、文献和文案研究</w:t>
      </w:r>
    </w:p>
    <w:p w14:paraId="497383D1">
      <w:pPr>
        <w:pStyle w:val="14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6B8C8B78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三、方案设计</w:t>
      </w:r>
    </w:p>
    <w:p w14:paraId="2CFFD1CD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4B1CCDD9">
      <w:pPr>
        <w:spacing w:line="540" w:lineRule="exac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1.整体方案，</w:t>
      </w:r>
      <w:r>
        <w:rPr>
          <w:rFonts w:ascii="Times New Roman" w:hAnsi="Times New Roman" w:cs="Times New Roman"/>
          <w:sz w:val="28"/>
          <w:szCs w:val="32"/>
        </w:rPr>
        <w:t>考察方案的完整性、科学性、合理性和可行性。</w:t>
      </w:r>
    </w:p>
    <w:p w14:paraId="445C1833">
      <w:pPr>
        <w:spacing w:line="540" w:lineRule="exact"/>
        <w:ind w:firstLine="555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2.调查方法设计</w:t>
      </w:r>
      <w:r>
        <w:rPr>
          <w:rFonts w:ascii="Times New Roman" w:hAnsi="Times New Roman" w:cs="Times New Roman"/>
          <w:sz w:val="28"/>
          <w:szCs w:val="32"/>
        </w:rPr>
        <w:t>，方法的选择</w:t>
      </w:r>
      <w:r>
        <w:rPr>
          <w:rFonts w:ascii="Times New Roman" w:hAnsi="Times New Roman" w:cs="Times New Roman"/>
          <w:b/>
          <w:bCs/>
          <w:sz w:val="28"/>
          <w:szCs w:val="32"/>
        </w:rPr>
        <w:t>（</w:t>
      </w:r>
      <w:r>
        <w:rPr>
          <w:rFonts w:ascii="Times New Roman" w:hAnsi="Times New Roman" w:cs="Times New Roman"/>
          <w:sz w:val="28"/>
          <w:szCs w:val="32"/>
        </w:rPr>
        <w:t>提示：不一定都用问卷调查，建议根据情况选择适当的方法收集数据）、样本量确定和抽样设计等。</w:t>
      </w:r>
    </w:p>
    <w:p w14:paraId="01158B91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3.方案设计，</w:t>
      </w:r>
      <w:r>
        <w:rPr>
          <w:rFonts w:ascii="Times New Roman" w:hAnsi="Times New Roman" w:cs="Times New Roman"/>
          <w:sz w:val="28"/>
          <w:szCs w:val="32"/>
        </w:rPr>
        <w:t>重点评估方案设计的</w:t>
      </w:r>
      <w:r>
        <w:rPr>
          <w:rFonts w:ascii="Times New Roman" w:hAnsi="Times New Roman" w:cs="Times New Roman"/>
          <w:b/>
          <w:bCs/>
          <w:sz w:val="28"/>
          <w:szCs w:val="32"/>
        </w:rPr>
        <w:t>科学性和可行性</w:t>
      </w:r>
      <w:r>
        <w:rPr>
          <w:rFonts w:ascii="Times New Roman" w:hAnsi="Times New Roman" w:cs="Times New Roman"/>
          <w:sz w:val="28"/>
          <w:szCs w:val="32"/>
        </w:rPr>
        <w:t>，旨在考察参赛选手是否能充分掌握理论知识，并能灵活运用于实际调查中。</w:t>
      </w:r>
    </w:p>
    <w:p w14:paraId="5652FC2E">
      <w:pPr>
        <w:pStyle w:val="13"/>
        <w:numPr>
          <w:ilvl w:val="0"/>
          <w:numId w:val="3"/>
        </w:numPr>
        <w:spacing w:before="240" w:line="540" w:lineRule="exact"/>
        <w:ind w:firstLineChars="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调查实施</w:t>
      </w:r>
    </w:p>
    <w:p w14:paraId="57064AD2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</w:t>
      </w:r>
      <w:r>
        <w:rPr>
          <w:rFonts w:ascii="Times New Roman" w:hAnsi="Times New Roman" w:cs="Times New Roman"/>
          <w:b/>
          <w:bCs/>
          <w:sz w:val="28"/>
          <w:szCs w:val="32"/>
        </w:rPr>
        <w:t>调查组织</w:t>
      </w:r>
      <w:r>
        <w:rPr>
          <w:rFonts w:ascii="Times New Roman" w:hAnsi="Times New Roman" w:cs="Times New Roman"/>
          <w:sz w:val="28"/>
          <w:szCs w:val="32"/>
        </w:rPr>
        <w:t>是否科学，调查过程是否完整、清晰。</w:t>
      </w:r>
    </w:p>
    <w:p w14:paraId="313EECF8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</w:t>
      </w:r>
      <w:r>
        <w:rPr>
          <w:rFonts w:ascii="Times New Roman" w:hAnsi="Times New Roman" w:cs="Times New Roman"/>
          <w:b/>
          <w:bCs/>
          <w:sz w:val="28"/>
          <w:szCs w:val="32"/>
        </w:rPr>
        <w:t>数据处理</w:t>
      </w:r>
      <w:r>
        <w:rPr>
          <w:rFonts w:ascii="Times New Roman" w:hAnsi="Times New Roman" w:cs="Times New Roman"/>
          <w:sz w:val="28"/>
          <w:szCs w:val="32"/>
        </w:rPr>
        <w:t xml:space="preserve">是否合理、严谨。 </w:t>
      </w:r>
    </w:p>
    <w:p w14:paraId="7D7C55BC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3.</w:t>
      </w:r>
      <w:r>
        <w:rPr>
          <w:rFonts w:ascii="Times New Roman" w:hAnsi="Times New Roman" w:cs="Times New Roman"/>
          <w:b/>
          <w:bCs/>
          <w:sz w:val="28"/>
          <w:szCs w:val="32"/>
        </w:rPr>
        <w:t>调查质量控制</w:t>
      </w:r>
      <w:r>
        <w:rPr>
          <w:rFonts w:ascii="Times New Roman" w:hAnsi="Times New Roman" w:cs="Times New Roman"/>
          <w:sz w:val="28"/>
          <w:szCs w:val="32"/>
        </w:rPr>
        <w:t xml:space="preserve">是否有效。 </w:t>
      </w:r>
    </w:p>
    <w:p w14:paraId="43289B63">
      <w:pPr>
        <w:tabs>
          <w:tab w:val="left" w:pos="851"/>
          <w:tab w:val="left" w:pos="1134"/>
        </w:tabs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4.</w:t>
      </w:r>
      <w:r>
        <w:rPr>
          <w:rFonts w:ascii="Times New Roman" w:hAnsi="Times New Roman" w:cs="Times New Roman"/>
          <w:b/>
          <w:bCs/>
          <w:sz w:val="28"/>
          <w:szCs w:val="32"/>
        </w:rPr>
        <w:t>独立完成调查</w:t>
      </w:r>
      <w:r>
        <w:rPr>
          <w:rFonts w:ascii="Times New Roman" w:hAnsi="Times New Roman" w:cs="Times New Roman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574DBA27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5.</w:t>
      </w:r>
      <w:r>
        <w:rPr>
          <w:rFonts w:ascii="Times New Roman" w:hAnsi="Times New Roman" w:cs="Times New Roman"/>
          <w:b/>
          <w:bCs/>
          <w:sz w:val="28"/>
          <w:szCs w:val="32"/>
        </w:rPr>
        <w:t>调查的难度和工作量:</w:t>
      </w:r>
      <w:r>
        <w:rPr>
          <w:rFonts w:ascii="Times New Roman" w:hAnsi="Times New Roman" w:cs="Times New Roman"/>
          <w:sz w:val="28"/>
          <w:szCs w:val="32"/>
        </w:rPr>
        <w:t>评审组根据调查方法及组织情况判断调查的难度和工作量，评估参赛选手的调查实施水平。</w:t>
      </w:r>
    </w:p>
    <w:p w14:paraId="56347D83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71FA4478">
      <w:pPr>
        <w:spacing w:before="240" w:line="540" w:lineRule="exact"/>
        <w:ind w:firstLine="569" w:firstLineChars="17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五、分析与结论</w:t>
      </w:r>
    </w:p>
    <w:p w14:paraId="31510457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1F8D43EC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1.数据分析方法的应用</w:t>
      </w:r>
    </w:p>
    <w:p w14:paraId="394DF633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22CA3BF2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597E6BEF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2.结论的处理</w:t>
      </w:r>
    </w:p>
    <w:p w14:paraId="4F7F2E5F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结论是否严谨，是否提供了完整的必要信息。</w:t>
      </w:r>
    </w:p>
    <w:p w14:paraId="045690DB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结论能否回应选题时提出的问题。</w:t>
      </w:r>
    </w:p>
    <w:p w14:paraId="109A92AA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3.结论与数据的关联性</w:t>
      </w:r>
    </w:p>
    <w:p w14:paraId="2D4F0024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特别关注结论与数据之间的关联，结论有数据的支撑。</w:t>
      </w:r>
    </w:p>
    <w:p w14:paraId="73FBFA34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4.建议的可操作性</w:t>
      </w:r>
    </w:p>
    <w:p w14:paraId="247AC52B">
      <w:pPr>
        <w:pStyle w:val="13"/>
        <w:spacing w:line="540" w:lineRule="exact"/>
        <w:ind w:left="567" w:firstLine="282" w:firstLineChars="10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建议是否切实可行，具有可操作性。</w:t>
      </w:r>
    </w:p>
    <w:p w14:paraId="5CE41C44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225F5A12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六、报告文本</w:t>
      </w:r>
    </w:p>
    <w:p w14:paraId="74376784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1.逻辑清晰</w:t>
      </w:r>
    </w:p>
    <w:p w14:paraId="0BAEF04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报告的逻辑结构是否清晰。</w:t>
      </w:r>
    </w:p>
    <w:p w14:paraId="5047136E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2.格式规范</w:t>
      </w:r>
    </w:p>
    <w:p w14:paraId="17F5693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报告是否符合规范的格式要求。</w:t>
      </w:r>
    </w:p>
    <w:p w14:paraId="3DF40CA9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3.文本精炼</w:t>
      </w:r>
    </w:p>
    <w:p w14:paraId="46CC563D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文本是否简练，言之有物。</w:t>
      </w:r>
    </w:p>
    <w:p w14:paraId="7823AE16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4.图文生动</w:t>
      </w:r>
    </w:p>
    <w:p w14:paraId="09B841E5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图文生动，图表与文字相辅相成。</w:t>
      </w:r>
    </w:p>
    <w:p w14:paraId="651DE70F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5.可读性强</w:t>
      </w:r>
    </w:p>
    <w:p w14:paraId="4A01CB82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报告具有可读性，文本易于理解。</w:t>
      </w:r>
    </w:p>
    <w:p w14:paraId="04691B53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在这一环节，评委关注学生的叙述逻辑、归纳概括和文字表达能力。</w:t>
      </w:r>
    </w:p>
    <w:p w14:paraId="030CB4B5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七、研究创新</w:t>
      </w:r>
    </w:p>
    <w:p w14:paraId="55C04148">
      <w:pPr>
        <w:ind w:firstLine="560" w:firstLineChars="200"/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p w14:paraId="00C6F627">
      <w:pPr>
        <w:ind w:left="-73" w:leftChars="-35"/>
        <w:rPr>
          <w:rFonts w:ascii="仿宋" w:hAnsi="仿宋" w:eastAsia="仿宋"/>
          <w:sz w:val="32"/>
          <w:szCs w:val="32"/>
        </w:rPr>
      </w:pPr>
      <w:bookmarkStart w:id="1" w:name="_GoBack"/>
      <w:bookmarkEnd w:id="1"/>
    </w:p>
    <w:p w14:paraId="2208FF34">
      <w:pPr>
        <w:ind w:left="-73" w:leftChars="-35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2C9B8F"/>
    <w:multiLevelType w:val="singleLevel"/>
    <w:tmpl w:val="862C9B8F"/>
    <w:lvl w:ilvl="0" w:tentative="0">
      <w:start w:val="1"/>
      <w:numFmt w:val="bullet"/>
      <w:suff w:val="space"/>
      <w:lvlText w:val=""/>
      <w:lvlJc w:val="left"/>
      <w:pPr>
        <w:ind w:left="420" w:firstLine="147"/>
      </w:pPr>
      <w:rPr>
        <w:rFonts w:hint="default" w:ascii="Wingdings" w:hAnsi="Wingdings"/>
      </w:rPr>
    </w:lvl>
  </w:abstractNum>
  <w:abstractNum w:abstractNumId="1">
    <w:nsid w:val="079793EA"/>
    <w:multiLevelType w:val="singleLevel"/>
    <w:tmpl w:val="079793EA"/>
    <w:lvl w:ilvl="0" w:tentative="0">
      <w:start w:val="1"/>
      <w:numFmt w:val="bullet"/>
      <w:suff w:val="space"/>
      <w:lvlText w:val=""/>
      <w:lvlJc w:val="left"/>
      <w:pPr>
        <w:ind w:left="420" w:firstLine="147"/>
      </w:pPr>
      <w:rPr>
        <w:rFonts w:hint="default" w:ascii="Wingdings" w:hAnsi="Wingdings"/>
      </w:rPr>
    </w:lvl>
  </w:abstractNum>
  <w:abstractNum w:abstractNumId="2">
    <w:nsid w:val="208556FD"/>
    <w:multiLevelType w:val="multilevel"/>
    <w:tmpl w:val="208556FD"/>
    <w:lvl w:ilvl="0" w:tentative="0">
      <w:start w:val="4"/>
      <w:numFmt w:val="japaneseCounting"/>
      <w:lvlText w:val="%1、"/>
      <w:lvlJc w:val="left"/>
      <w:pPr>
        <w:ind w:left="1289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9" w:hanging="420"/>
      </w:pPr>
    </w:lvl>
    <w:lvl w:ilvl="2" w:tentative="0">
      <w:start w:val="1"/>
      <w:numFmt w:val="lowerRoman"/>
      <w:lvlText w:val="%3."/>
      <w:lvlJc w:val="right"/>
      <w:pPr>
        <w:ind w:left="1829" w:hanging="420"/>
      </w:pPr>
    </w:lvl>
    <w:lvl w:ilvl="3" w:tentative="0">
      <w:start w:val="1"/>
      <w:numFmt w:val="decimal"/>
      <w:lvlText w:val="%4."/>
      <w:lvlJc w:val="left"/>
      <w:pPr>
        <w:ind w:left="2249" w:hanging="420"/>
      </w:pPr>
    </w:lvl>
    <w:lvl w:ilvl="4" w:tentative="0">
      <w:start w:val="1"/>
      <w:numFmt w:val="lowerLetter"/>
      <w:lvlText w:val="%5)"/>
      <w:lvlJc w:val="left"/>
      <w:pPr>
        <w:ind w:left="2669" w:hanging="420"/>
      </w:pPr>
    </w:lvl>
    <w:lvl w:ilvl="5" w:tentative="0">
      <w:start w:val="1"/>
      <w:numFmt w:val="lowerRoman"/>
      <w:lvlText w:val="%6."/>
      <w:lvlJc w:val="right"/>
      <w:pPr>
        <w:ind w:left="3089" w:hanging="420"/>
      </w:pPr>
    </w:lvl>
    <w:lvl w:ilvl="6" w:tentative="0">
      <w:start w:val="1"/>
      <w:numFmt w:val="decimal"/>
      <w:lvlText w:val="%7."/>
      <w:lvlJc w:val="left"/>
      <w:pPr>
        <w:ind w:left="3509" w:hanging="420"/>
      </w:pPr>
    </w:lvl>
    <w:lvl w:ilvl="7" w:tentative="0">
      <w:start w:val="1"/>
      <w:numFmt w:val="lowerLetter"/>
      <w:lvlText w:val="%8)"/>
      <w:lvlJc w:val="left"/>
      <w:pPr>
        <w:ind w:left="3929" w:hanging="420"/>
      </w:pPr>
    </w:lvl>
    <w:lvl w:ilvl="8" w:tentative="0">
      <w:start w:val="1"/>
      <w:numFmt w:val="lowerRoman"/>
      <w:lvlText w:val="%9."/>
      <w:lvlJc w:val="right"/>
      <w:pPr>
        <w:ind w:left="4349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jVkYmFhMTcwMTA3MDNkNzI2MzZmZWQ3NTUzMDYifQ=="/>
  </w:docVars>
  <w:rsids>
    <w:rsidRoot w:val="35A85776"/>
    <w:rsid w:val="000E30D5"/>
    <w:rsid w:val="00123A41"/>
    <w:rsid w:val="00311F4B"/>
    <w:rsid w:val="006731DF"/>
    <w:rsid w:val="008B0198"/>
    <w:rsid w:val="00974B17"/>
    <w:rsid w:val="00B4188C"/>
    <w:rsid w:val="00CE6BB9"/>
    <w:rsid w:val="00EA1DB3"/>
    <w:rsid w:val="0A833ED6"/>
    <w:rsid w:val="0EA2489B"/>
    <w:rsid w:val="306566EB"/>
    <w:rsid w:val="35A85776"/>
    <w:rsid w:val="3D595A5E"/>
    <w:rsid w:val="42C47AE4"/>
    <w:rsid w:val="47CB52F1"/>
    <w:rsid w:val="4F4C3CF8"/>
    <w:rsid w:val="6BB5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eastAsia" w:ascii="幼圆" w:hAnsi="幼圆" w:eastAsia="幼圆" w:cs="幼圆"/>
      <w:b/>
      <w:bCs/>
      <w:color w:val="FF0000"/>
      <w:sz w:val="24"/>
      <w:szCs w:val="24"/>
      <w:u w:val="none"/>
    </w:rPr>
  </w:style>
  <w:style w:type="character" w:customStyle="1" w:styleId="7">
    <w:name w:val="font41"/>
    <w:basedOn w:val="5"/>
    <w:qFormat/>
    <w:uiPriority w:val="0"/>
    <w:rPr>
      <w:rFonts w:hint="eastAsia" w:ascii="幼圆" w:hAnsi="幼圆" w:eastAsia="幼圆" w:cs="幼圆"/>
      <w:b/>
      <w:bCs/>
      <w:color w:val="000000"/>
      <w:sz w:val="24"/>
      <w:szCs w:val="24"/>
      <w:u w:val="none"/>
    </w:rPr>
  </w:style>
  <w:style w:type="character" w:customStyle="1" w:styleId="8">
    <w:name w:val="font9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b/>
      <w:bCs/>
      <w:color w:val="000000"/>
      <w:sz w:val="32"/>
      <w:szCs w:val="32"/>
      <w:u w:val="none"/>
    </w:rPr>
  </w:style>
  <w:style w:type="character" w:customStyle="1" w:styleId="10">
    <w:name w:val="font8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11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pf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1933</Words>
  <Characters>2019</Characters>
  <Lines>15</Lines>
  <Paragraphs>4</Paragraphs>
  <TotalTime>7</TotalTime>
  <ScaleCrop>false</ScaleCrop>
  <LinksUpToDate>false</LinksUpToDate>
  <CharactersWithSpaces>2041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2024-11-13T05:48:00Z</dcterms:created>
  <dc:creator>lenovo</dc:creator>
  <cp:lastModifiedBy>碧海蓝天</cp:lastModifiedBy>
  <dcterms:modified xsi:type="dcterms:W3CDTF">2024-11-14T02:41:11Z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3156C3A765294BD8B92E3F29E9168964_13</vt:lpwstr>
  </property>
</Properties>
</file>