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bookmarkStart w:id="0" w:name="_GoBack"/>
      <w:r>
        <w:rPr>
          <w:rFonts w:hint="eastAsia"/>
        </w:rPr>
        <w:t>第十三届(</w:t>
      </w:r>
      <w:r>
        <w:t>2022年</w:t>
      </w:r>
      <w:r>
        <w:rPr>
          <w:rFonts w:hint="eastAsia"/>
        </w:rPr>
        <w:t>)全国大学生市场调查与分析大赛</w:t>
      </w:r>
    </w:p>
    <w:p>
      <w:pPr>
        <w:pStyle w:val="8"/>
      </w:pPr>
      <w:r>
        <w:rPr>
          <w:rFonts w:hint="eastAsia"/>
        </w:rPr>
        <w:t>理论知识网络测试提纲</w:t>
      </w:r>
    </w:p>
    <w:bookmarkEnd w:id="0"/>
    <w:p>
      <w:pPr>
        <w:spacing w:line="220" w:lineRule="atLeast"/>
        <w:ind w:firstLine="480"/>
      </w:pPr>
    </w:p>
    <w:p>
      <w:pPr>
        <w:spacing w:line="220" w:lineRule="atLeast"/>
        <w:ind w:firstLine="480"/>
      </w:pPr>
    </w:p>
    <w:p>
      <w:pPr>
        <w:ind w:firstLine="482"/>
      </w:pPr>
      <w:r>
        <w:rPr>
          <w:rFonts w:hint="eastAsia"/>
          <w:b/>
        </w:rPr>
        <w:t>说明：</w:t>
      </w:r>
      <w:r>
        <w:rPr>
          <w:rFonts w:hint="eastAsia"/>
        </w:rPr>
        <w:t>本提纲为参加全国大学生市场调查与分析大赛（以下简称“大赛”）理论知识网络测试的指导提纲，仅供参加第1</w:t>
      </w:r>
      <w:r>
        <w:t>3</w:t>
      </w:r>
      <w:r>
        <w:rPr>
          <w:rFonts w:hint="eastAsia"/>
        </w:rPr>
        <w:t>届大赛网络测试使用。</w:t>
      </w:r>
    </w:p>
    <w:p>
      <w:pPr>
        <w:pStyle w:val="2"/>
        <w:ind w:firstLine="480"/>
      </w:pPr>
      <w:r>
        <w:rPr>
          <w:rFonts w:hint="eastAsia"/>
        </w:rPr>
        <w:t>一、进行理论知识网络测试的目的和原则</w:t>
      </w:r>
    </w:p>
    <w:p>
      <w:pPr>
        <w:ind w:firstLine="480"/>
      </w:pPr>
      <w:r>
        <w:rPr>
          <w:rFonts w:hint="eastAsia"/>
        </w:rPr>
        <w:t>本大赛倡导理论与实际相结合的原则。所有参赛学生应当在具备统计学和市场调查的基本理论知识的基础上参赛。为了强化学生们对理论知识学习的重视，同时也是为了对参赛学生的理论储备做初步筛查，特设立理论知识网络测试。</w:t>
      </w:r>
    </w:p>
    <w:p>
      <w:pPr>
        <w:ind w:firstLine="480"/>
      </w:pPr>
      <w:r>
        <w:rPr>
          <w:rFonts w:hint="eastAsia"/>
        </w:rPr>
        <w:t>网络测试的作用主要有两点：</w:t>
      </w:r>
    </w:p>
    <w:p>
      <w:pPr>
        <w:ind w:firstLine="480"/>
      </w:pPr>
      <w:r>
        <w:rPr>
          <w:rFonts w:hint="eastAsia"/>
        </w:rPr>
        <w:t>1. 检验学生是否掌握了统计学和市场调查理论基础知识；</w:t>
      </w:r>
    </w:p>
    <w:p>
      <w:pPr>
        <w:ind w:firstLine="480"/>
      </w:pPr>
      <w:r>
        <w:rPr>
          <w:rFonts w:hint="eastAsia"/>
        </w:rPr>
        <w:t>2. 从知识储备方面确定学生是否具备参加实践赛的资格。</w:t>
      </w:r>
    </w:p>
    <w:p>
      <w:pPr>
        <w:ind w:firstLine="480"/>
      </w:pPr>
      <w:r>
        <w:rPr>
          <w:rFonts w:hint="eastAsia"/>
        </w:rPr>
        <w:t>网络测试命题的原则是，考察基本知识和基本理论；不出难题、怪题、偏题；本科生、专科生分别命题，对理论难度提出不同要求。</w:t>
      </w:r>
    </w:p>
    <w:p>
      <w:pPr>
        <w:pStyle w:val="2"/>
        <w:ind w:firstLine="480"/>
      </w:pPr>
      <w:r>
        <w:rPr>
          <w:rFonts w:hint="eastAsia"/>
        </w:rPr>
        <w:t>二、测试方法及要求</w:t>
      </w:r>
    </w:p>
    <w:p>
      <w:pPr>
        <w:ind w:firstLine="480"/>
      </w:pPr>
      <w:r>
        <w:rPr>
          <w:rFonts w:hint="eastAsia"/>
        </w:rPr>
        <w:t>网络测试是个人赛，即每个参赛考生独立完成测试。</w:t>
      </w:r>
    </w:p>
    <w:p>
      <w:pPr>
        <w:ind w:firstLine="480"/>
      </w:pPr>
      <w:r>
        <w:rPr>
          <w:rFonts w:hint="eastAsia"/>
        </w:rPr>
        <w:t>测试形式为在线考试，测试时长100分钟。</w:t>
      </w:r>
    </w:p>
    <w:p>
      <w:pPr>
        <w:ind w:firstLine="480"/>
        <w:rPr>
          <w:rFonts w:ascii="宋体" w:hAnsi="宋体"/>
        </w:rPr>
      </w:pPr>
      <w:r>
        <w:rPr>
          <w:rFonts w:hint="eastAsia" w:ascii="宋体" w:hAnsi="宋体"/>
        </w:rPr>
        <w:t>考生可在规定的考试日期和时间范围内任选100分钟参加在线考试；每人可以最多参加一次模拟测试，两次正式测试。</w:t>
      </w:r>
    </w:p>
    <w:p>
      <w:pPr>
        <w:ind w:firstLine="480"/>
        <w:rPr>
          <w:rFonts w:ascii="宋体" w:hAnsi="宋体"/>
        </w:rPr>
      </w:pPr>
      <w:r>
        <w:rPr>
          <w:rFonts w:hint="eastAsia" w:ascii="宋体" w:hAnsi="宋体"/>
        </w:rPr>
        <w:t>参加测试流程为：</w:t>
      </w:r>
    </w:p>
    <w:p>
      <w:pPr>
        <w:ind w:firstLine="480"/>
      </w:pPr>
      <w:r>
        <w:rPr>
          <w:rFonts w:hint="eastAsia"/>
        </w:rPr>
        <w:t>参赛学生网上报名，老师确认参加网考学生信息后提交大赛组委会，并在考前统一支付网考费用。</w:t>
      </w:r>
      <w:r>
        <w:t xml:space="preserve"> </w:t>
      </w:r>
    </w:p>
    <w:p>
      <w:pPr>
        <w:ind w:firstLine="480"/>
      </w:pPr>
      <w:r>
        <w:rPr>
          <w:rFonts w:hint="eastAsia"/>
        </w:rPr>
        <w:t xml:space="preserve">学生登录网考系统 https://cssc.wenjuan.com，输入姓名、手机号，短信验证码，即可参加在线模拟和正式考试。 </w:t>
      </w:r>
    </w:p>
    <w:p>
      <w:pPr>
        <w:ind w:firstLine="480"/>
      </w:pPr>
      <w:r>
        <w:rPr>
          <w:rFonts w:hint="eastAsia"/>
        </w:rPr>
        <w:t xml:space="preserve">网络测试卷为答题系统随机从题库中抽题组卷，参赛学生在规定的时间内完成网上在线测试。 </w:t>
      </w:r>
    </w:p>
    <w:p>
      <w:pPr>
        <w:ind w:firstLine="480"/>
      </w:pPr>
      <w:r>
        <w:rPr>
          <w:rFonts w:hint="eastAsia"/>
        </w:rPr>
        <w:t xml:space="preserve">每人有一次网上模拟测试机会。两次正式测试机会，取两次正式测试成绩的最高分为本人测试成绩，成绩分为“合格”与“不合格”两级。 </w:t>
      </w:r>
    </w:p>
    <w:p>
      <w:pPr>
        <w:pStyle w:val="2"/>
        <w:ind w:firstLine="480"/>
      </w:pPr>
      <w:r>
        <w:rPr>
          <w:rFonts w:hint="eastAsia"/>
        </w:rPr>
        <w:t>三、参考教材、题型、分值及通过率</w:t>
      </w:r>
    </w:p>
    <w:p>
      <w:pPr>
        <w:ind w:firstLine="480"/>
      </w:pPr>
      <w:r>
        <w:rPr>
          <w:rFonts w:hint="eastAsia"/>
        </w:rPr>
        <w:t>大赛为本科学生提供了统一的参考教材，为专科学生提出了参考教材的建议。本科与专科在题型和难度上略有区别。</w:t>
      </w:r>
    </w:p>
    <w:p>
      <w:pPr>
        <w:ind w:firstLine="480"/>
      </w:pPr>
    </w:p>
    <w:p>
      <w:pPr>
        <w:ind w:firstLine="482"/>
      </w:pPr>
      <w:r>
        <w:rPr>
          <w:rFonts w:hint="eastAsia"/>
          <w:b/>
        </w:rPr>
        <w:t xml:space="preserve">1. </w:t>
      </w:r>
      <w:r>
        <w:rPr>
          <w:rFonts w:hint="eastAsia"/>
        </w:rPr>
        <w:t>本科测试的参考教材是：徐映梅主编 《市场调查理论与方法》 高等教育出版社2</w:t>
      </w:r>
      <w:r>
        <w:t>018年</w:t>
      </w:r>
      <w:r>
        <w:rPr>
          <w:rFonts w:hint="eastAsia"/>
        </w:rPr>
        <w:t>版。</w:t>
      </w:r>
    </w:p>
    <w:p>
      <w:pPr>
        <w:ind w:firstLine="480"/>
      </w:pPr>
      <w:r>
        <w:rPr>
          <w:rFonts w:hint="eastAsia"/>
        </w:rPr>
        <w:t>本科题型分为：判断题、单选题、多选题三类。判断题、单选题每题1分，多选题每题2分，全卷共85题，100分。</w:t>
      </w:r>
    </w:p>
    <w:p>
      <w:pPr>
        <w:ind w:firstLine="480"/>
      </w:pPr>
      <w:r>
        <w:rPr>
          <w:rFonts w:hint="eastAsia"/>
        </w:rPr>
        <w:t>试题按难度分为简单题、中等难度和较难三类，在试卷中分别占比为60%、30%和10%。</w:t>
      </w:r>
    </w:p>
    <w:p>
      <w:pPr>
        <w:ind w:firstLine="480"/>
      </w:pPr>
    </w:p>
    <w:p>
      <w:pPr>
        <w:spacing w:line="360" w:lineRule="auto"/>
        <w:ind w:firstLine="482" w:firstLineChars="0"/>
        <w:rPr>
          <w:rFonts w:ascii="Times New Roman" w:hAnsi="Times New Roman"/>
        </w:rPr>
      </w:pPr>
      <w:r>
        <w:rPr>
          <w:rFonts w:hint="eastAsia"/>
          <w:b/>
        </w:rPr>
        <w:t>2.</w:t>
      </w:r>
      <w:r>
        <w:rPr>
          <w:rFonts w:hint="eastAsia"/>
        </w:rPr>
        <w:t>专科测试请参考国家教育部“十二五”规划高职院校的教材。例如大连理工大学出版《统计基础与实务》（宋文光主编），高等教育出版社出版《市场调查与分析》</w:t>
      </w:r>
      <w:r>
        <w:t xml:space="preserve"> </w:t>
      </w:r>
      <w:r>
        <w:rPr>
          <w:rFonts w:hint="eastAsia"/>
        </w:rPr>
        <w:t>（宋文光主编）等同等水平教材均可。</w:t>
      </w:r>
    </w:p>
    <w:p>
      <w:pPr>
        <w:ind w:firstLine="480"/>
      </w:pPr>
    </w:p>
    <w:p>
      <w:pPr>
        <w:ind w:firstLine="480"/>
      </w:pPr>
      <w:r>
        <w:rPr>
          <w:rFonts w:hint="eastAsia"/>
        </w:rPr>
        <w:t>专科题型分为：判断题和单选题两类。每题1分，全卷共100题，100分。</w:t>
      </w:r>
    </w:p>
    <w:p>
      <w:pPr>
        <w:ind w:firstLine="480"/>
      </w:pPr>
      <w:r>
        <w:rPr>
          <w:rFonts w:hint="eastAsia"/>
        </w:rPr>
        <w:t>试题按难度分为简单题和中等难度题，在试卷中分别占比为70%和30%。</w:t>
      </w:r>
    </w:p>
    <w:p>
      <w:pPr>
        <w:ind w:firstLine="480"/>
      </w:pPr>
    </w:p>
    <w:p>
      <w:pPr>
        <w:widowControl w:val="0"/>
        <w:ind w:firstLine="482"/>
      </w:pPr>
      <w:r>
        <w:rPr>
          <w:rFonts w:hint="eastAsia"/>
          <w:b/>
        </w:rPr>
        <w:t xml:space="preserve">3. </w:t>
      </w:r>
      <w:r>
        <w:rPr>
          <w:rFonts w:hint="eastAsia"/>
        </w:rPr>
        <w:t>测试通过率以院校为单位控制在不低于70%。具体掌握是：达到60分者全部通过。若某校60分以上者不足该校考生的70%，则按该校考生成绩的前70%确定该校通过线。</w:t>
      </w:r>
    </w:p>
    <w:p>
      <w:pPr>
        <w:widowControl w:val="0"/>
        <w:ind w:firstLine="480"/>
      </w:pPr>
    </w:p>
    <w:p>
      <w:pPr>
        <w:widowControl w:val="0"/>
        <w:ind w:firstLine="480"/>
      </w:pPr>
      <w:r>
        <w:rPr>
          <w:rFonts w:hint="eastAsia"/>
        </w:rPr>
        <w:t>（关于本科和专科测试的章节及知识点，请见下页。）</w:t>
      </w:r>
    </w:p>
    <w:p>
      <w:pPr>
        <w:adjustRightInd/>
        <w:snapToGrid/>
        <w:spacing w:after="200" w:line="220" w:lineRule="atLeast"/>
        <w:ind w:firstLine="0" w:firstLineChars="0"/>
        <w:jc w:val="left"/>
        <w:rPr>
          <w:rFonts w:eastAsia="微软雅黑" w:asciiTheme="majorHAnsi" w:hAnsiTheme="majorHAnsi" w:cstheme="majorBidi"/>
          <w:b/>
          <w:bCs/>
          <w:szCs w:val="32"/>
        </w:rPr>
      </w:pPr>
      <w:r>
        <w:br w:type="page"/>
      </w:r>
    </w:p>
    <w:p>
      <w:pPr>
        <w:pStyle w:val="2"/>
        <w:ind w:firstLine="480"/>
      </w:pPr>
      <w:r>
        <w:rPr>
          <w:rFonts w:hint="eastAsia"/>
        </w:rPr>
        <w:t>四、测试知识点</w:t>
      </w:r>
    </w:p>
    <w:p>
      <w:pPr>
        <w:ind w:firstLine="480"/>
      </w:pPr>
      <w:r>
        <w:rPr>
          <w:rFonts w:hint="eastAsia"/>
        </w:rPr>
        <w:t>本科测试内容按参考教材确定，但在测试章节上进行了简化调整。具体如下：</w:t>
      </w:r>
    </w:p>
    <w:p>
      <w:pPr>
        <w:ind w:firstLine="482"/>
        <w:rPr>
          <w:b/>
        </w:rPr>
      </w:pPr>
      <w:r>
        <w:rPr>
          <w:rFonts w:hint="eastAsia"/>
          <w:b/>
        </w:rPr>
        <w:t>本科网络测试章节及知识点设置：</w:t>
      </w:r>
    </w:p>
    <w:tbl>
      <w:tblPr>
        <w:tblStyle w:val="9"/>
        <w:tblW w:w="7960" w:type="dxa"/>
        <w:jc w:val="center"/>
        <w:tblLayout w:type="autofit"/>
        <w:tblCellMar>
          <w:top w:w="0" w:type="dxa"/>
          <w:left w:w="108" w:type="dxa"/>
          <w:bottom w:w="0" w:type="dxa"/>
          <w:right w:w="108" w:type="dxa"/>
        </w:tblCellMar>
      </w:tblPr>
      <w:tblGrid>
        <w:gridCol w:w="731"/>
        <w:gridCol w:w="2409"/>
        <w:gridCol w:w="3921"/>
        <w:gridCol w:w="899"/>
      </w:tblGrid>
      <w:tr>
        <w:tblPrEx>
          <w:tblCellMar>
            <w:top w:w="0" w:type="dxa"/>
            <w:left w:w="108" w:type="dxa"/>
            <w:bottom w:w="0" w:type="dxa"/>
            <w:right w:w="108" w:type="dxa"/>
          </w:tblCellMar>
        </w:tblPrEx>
        <w:trPr>
          <w:trHeight w:val="490" w:hRule="atLeast"/>
          <w:jc w:val="center"/>
        </w:trPr>
        <w:tc>
          <w:tcPr>
            <w:tcW w:w="731" w:type="dxa"/>
            <w:vMerge w:val="restart"/>
            <w:tcBorders>
              <w:top w:val="single" w:color="auto" w:sz="4" w:space="0"/>
              <w:left w:val="single" w:color="auto" w:sz="4" w:space="0"/>
              <w:bottom w:val="single" w:color="auto" w:sz="4" w:space="0"/>
              <w:right w:val="single" w:color="auto" w:sz="4" w:space="0"/>
            </w:tcBorders>
            <w:shd w:val="clear" w:color="000000" w:fill="8DB4E3"/>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序号</w:t>
            </w:r>
          </w:p>
        </w:tc>
        <w:tc>
          <w:tcPr>
            <w:tcW w:w="2409" w:type="dxa"/>
            <w:vMerge w:val="restart"/>
            <w:tcBorders>
              <w:top w:val="single" w:color="auto" w:sz="4" w:space="0"/>
              <w:left w:val="single" w:color="auto" w:sz="4" w:space="0"/>
              <w:bottom w:val="single" w:color="auto" w:sz="4" w:space="0"/>
              <w:right w:val="single" w:color="auto" w:sz="4" w:space="0"/>
            </w:tcBorders>
            <w:shd w:val="clear" w:color="000000" w:fill="8DB4E3"/>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章节</w:t>
            </w:r>
          </w:p>
        </w:tc>
        <w:tc>
          <w:tcPr>
            <w:tcW w:w="3921" w:type="dxa"/>
            <w:vMerge w:val="restart"/>
            <w:tcBorders>
              <w:top w:val="single" w:color="auto" w:sz="4" w:space="0"/>
              <w:left w:val="single" w:color="auto" w:sz="4" w:space="0"/>
              <w:bottom w:val="single" w:color="000000" w:sz="4" w:space="0"/>
              <w:right w:val="single" w:color="auto" w:sz="4" w:space="0"/>
            </w:tcBorders>
            <w:shd w:val="clear" w:color="000000" w:fill="8DB4E3"/>
            <w:noWrap/>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包含内容</w:t>
            </w:r>
          </w:p>
        </w:tc>
        <w:tc>
          <w:tcPr>
            <w:tcW w:w="899" w:type="dxa"/>
            <w:vMerge w:val="restart"/>
            <w:tcBorders>
              <w:top w:val="single" w:color="auto" w:sz="4" w:space="0"/>
              <w:left w:val="single" w:color="auto" w:sz="4" w:space="0"/>
              <w:bottom w:val="single" w:color="auto" w:sz="4" w:space="0"/>
              <w:right w:val="single" w:color="auto" w:sz="4" w:space="0"/>
            </w:tcBorders>
            <w:shd w:val="clear" w:color="000000" w:fill="8DB4E3"/>
            <w:noWrap/>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难度</w:t>
            </w:r>
          </w:p>
        </w:tc>
      </w:tr>
      <w:tr>
        <w:tblPrEx>
          <w:tblCellMar>
            <w:top w:w="0" w:type="dxa"/>
            <w:left w:w="108" w:type="dxa"/>
            <w:bottom w:w="0" w:type="dxa"/>
            <w:right w:w="108" w:type="dxa"/>
          </w:tblCellMar>
        </w:tblPrEx>
        <w:trPr>
          <w:trHeight w:val="490" w:hRule="atLeast"/>
          <w:jc w:val="center"/>
        </w:trPr>
        <w:tc>
          <w:tcPr>
            <w:tcW w:w="73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vMerge w:val="continue"/>
            <w:tcBorders>
              <w:top w:val="single" w:color="auto" w:sz="4" w:space="0"/>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r>
      <w:tr>
        <w:trPr>
          <w:trHeight w:val="285" w:hRule="atLeast"/>
          <w:jc w:val="center"/>
        </w:trPr>
        <w:tc>
          <w:tcPr>
            <w:tcW w:w="731" w:type="dxa"/>
            <w:vMerge w:val="restart"/>
            <w:tcBorders>
              <w:top w:val="nil"/>
              <w:left w:val="single" w:color="auto" w:sz="4" w:space="0"/>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1</w:t>
            </w:r>
          </w:p>
        </w:tc>
        <w:tc>
          <w:tcPr>
            <w:tcW w:w="2409" w:type="dxa"/>
            <w:vMerge w:val="restart"/>
            <w:tcBorders>
              <w:top w:val="nil"/>
              <w:left w:val="single" w:color="auto" w:sz="4" w:space="0"/>
              <w:bottom w:val="single" w:color="auto" w:sz="4" w:space="0"/>
              <w:right w:val="single" w:color="auto" w:sz="4" w:space="0"/>
            </w:tcBorders>
            <w:shd w:val="clear" w:color="000000" w:fill="DBE5F1"/>
            <w:vAlign w:val="center"/>
          </w:tcPr>
          <w:p>
            <w:pPr>
              <w:adjustRightInd/>
              <w:snapToGrid/>
              <w:spacing w:after="0" w:line="240" w:lineRule="auto"/>
              <w:ind w:firstLine="0" w:firstLineChars="0"/>
              <w:jc w:val="left"/>
              <w:rPr>
                <w:rFonts w:ascii="宋体" w:hAnsi="宋体" w:eastAsia="宋体" w:cs="宋体"/>
                <w:b/>
                <w:bCs/>
                <w:color w:val="000000"/>
                <w:szCs w:val="24"/>
              </w:rPr>
            </w:pPr>
            <w:r>
              <w:rPr>
                <w:rFonts w:hint="eastAsia" w:ascii="宋体" w:hAnsi="宋体" w:eastAsia="宋体" w:cs="宋体"/>
                <w:b/>
                <w:bCs/>
                <w:color w:val="000000"/>
                <w:szCs w:val="24"/>
              </w:rPr>
              <w:t>市场调查概述</w:t>
            </w:r>
          </w:p>
        </w:tc>
        <w:tc>
          <w:tcPr>
            <w:tcW w:w="3921" w:type="dxa"/>
            <w:tcBorders>
              <w:top w:val="nil"/>
              <w:left w:val="nil"/>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市场调查基本知识、基本程序</w:t>
            </w:r>
          </w:p>
        </w:tc>
        <w:tc>
          <w:tcPr>
            <w:tcW w:w="899" w:type="dxa"/>
            <w:vMerge w:val="restart"/>
            <w:tcBorders>
              <w:top w:val="nil"/>
              <w:left w:val="single" w:color="auto" w:sz="4" w:space="0"/>
              <w:bottom w:val="single" w:color="auto" w:sz="4" w:space="0"/>
              <w:right w:val="single" w:color="auto" w:sz="4" w:space="0"/>
            </w:tcBorders>
            <w:shd w:val="clear" w:color="000000" w:fill="DBE5F1"/>
            <w:vAlign w:val="center"/>
          </w:tcPr>
          <w:p>
            <w:pPr>
              <w:adjustRightInd/>
              <w:snapToGrid/>
              <w:spacing w:after="0" w:line="240" w:lineRule="auto"/>
              <w:ind w:firstLine="0" w:firstLineChars="0"/>
              <w:jc w:val="center"/>
              <w:rPr>
                <w:rFonts w:ascii="宋体" w:hAnsi="宋体" w:eastAsia="宋体" w:cs="宋体"/>
                <w:color w:val="000000"/>
                <w:szCs w:val="24"/>
              </w:rPr>
            </w:pPr>
            <w:r>
              <w:rPr>
                <w:rFonts w:hint="eastAsia" w:ascii="宋体" w:hAnsi="宋体" w:eastAsia="宋体" w:cs="宋体"/>
                <w:b/>
                <w:color w:val="000000"/>
                <w:szCs w:val="24"/>
              </w:rPr>
              <w:t>简单</w:t>
            </w:r>
            <w:r>
              <w:rPr>
                <w:rFonts w:hint="eastAsia" w:ascii="宋体" w:hAnsi="宋体" w:eastAsia="宋体" w:cs="宋体"/>
                <w:color w:val="000000"/>
                <w:szCs w:val="24"/>
              </w:rPr>
              <w:t>60%</w:t>
            </w:r>
          </w:p>
        </w:tc>
      </w:tr>
      <w:tr>
        <w:tblPrEx>
          <w:tblCellMar>
            <w:top w:w="0" w:type="dxa"/>
            <w:left w:w="108" w:type="dxa"/>
            <w:bottom w:w="0" w:type="dxa"/>
            <w:right w:w="108" w:type="dxa"/>
          </w:tblCellMar>
        </w:tblPrEx>
        <w:trPr>
          <w:trHeight w:val="285"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nil"/>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市场调查的应用范围</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285" w:hRule="atLeast"/>
          <w:jc w:val="center"/>
        </w:trPr>
        <w:tc>
          <w:tcPr>
            <w:tcW w:w="731" w:type="dxa"/>
            <w:vMerge w:val="restart"/>
            <w:tcBorders>
              <w:top w:val="nil"/>
              <w:left w:val="single" w:color="auto" w:sz="4" w:space="0"/>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2</w:t>
            </w:r>
          </w:p>
        </w:tc>
        <w:tc>
          <w:tcPr>
            <w:tcW w:w="2409" w:type="dxa"/>
            <w:vMerge w:val="restart"/>
            <w:tcBorders>
              <w:top w:val="nil"/>
              <w:left w:val="single" w:color="auto" w:sz="4" w:space="0"/>
              <w:bottom w:val="single" w:color="auto" w:sz="4" w:space="0"/>
              <w:right w:val="single" w:color="auto" w:sz="4" w:space="0"/>
            </w:tcBorders>
            <w:shd w:val="clear" w:color="000000" w:fill="DBE5F1"/>
            <w:vAlign w:val="center"/>
          </w:tcPr>
          <w:p>
            <w:pPr>
              <w:adjustRightInd/>
              <w:snapToGrid/>
              <w:spacing w:after="0" w:line="240" w:lineRule="auto"/>
              <w:ind w:firstLine="0" w:firstLineChars="0"/>
              <w:jc w:val="left"/>
              <w:rPr>
                <w:rFonts w:ascii="宋体" w:hAnsi="宋体" w:eastAsia="宋体" w:cs="宋体"/>
                <w:b/>
                <w:bCs/>
                <w:color w:val="000000"/>
                <w:szCs w:val="24"/>
              </w:rPr>
            </w:pPr>
            <w:r>
              <w:rPr>
                <w:rFonts w:hint="eastAsia" w:ascii="宋体" w:hAnsi="宋体" w:eastAsia="宋体" w:cs="宋体"/>
                <w:b/>
                <w:bCs/>
                <w:color w:val="000000"/>
                <w:szCs w:val="24"/>
              </w:rPr>
              <w:t>数据收集</w:t>
            </w:r>
          </w:p>
        </w:tc>
        <w:tc>
          <w:tcPr>
            <w:tcW w:w="3921" w:type="dxa"/>
            <w:tcBorders>
              <w:top w:val="nil"/>
              <w:left w:val="nil"/>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定性与定量数据收集的方法</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285"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nil"/>
              <w:bottom w:val="nil"/>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市场调查的组织与实施</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rPr>
          <w:trHeight w:val="375" w:hRule="atLeast"/>
          <w:jc w:val="center"/>
        </w:trPr>
        <w:tc>
          <w:tcPr>
            <w:tcW w:w="731" w:type="dxa"/>
            <w:vMerge w:val="restart"/>
            <w:tcBorders>
              <w:top w:val="nil"/>
              <w:left w:val="single" w:color="auto" w:sz="4" w:space="0"/>
              <w:bottom w:val="single" w:color="000000" w:sz="4" w:space="0"/>
              <w:right w:val="single" w:color="auto" w:sz="4" w:space="0"/>
            </w:tcBorders>
            <w:shd w:val="clear" w:color="000000" w:fill="DBE5F1"/>
            <w:noWrap/>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3</w:t>
            </w:r>
          </w:p>
        </w:tc>
        <w:tc>
          <w:tcPr>
            <w:tcW w:w="2409" w:type="dxa"/>
            <w:vMerge w:val="restart"/>
            <w:tcBorders>
              <w:top w:val="nil"/>
              <w:left w:val="single" w:color="auto" w:sz="4" w:space="0"/>
              <w:bottom w:val="single" w:color="000000" w:sz="4" w:space="0"/>
              <w:right w:val="nil"/>
            </w:tcBorders>
            <w:shd w:val="clear" w:color="000000" w:fill="DBE5F1"/>
            <w:vAlign w:val="center"/>
          </w:tcPr>
          <w:p>
            <w:pPr>
              <w:adjustRightInd/>
              <w:snapToGrid/>
              <w:spacing w:after="0" w:line="240" w:lineRule="auto"/>
              <w:ind w:firstLine="0" w:firstLineChars="0"/>
              <w:jc w:val="left"/>
              <w:rPr>
                <w:rFonts w:ascii="宋体" w:hAnsi="宋体" w:eastAsia="宋体" w:cs="宋体"/>
                <w:b/>
                <w:bCs/>
                <w:color w:val="000000"/>
                <w:szCs w:val="24"/>
              </w:rPr>
            </w:pPr>
            <w:r>
              <w:rPr>
                <w:rFonts w:hint="eastAsia" w:ascii="宋体" w:hAnsi="宋体" w:eastAsia="宋体" w:cs="宋体"/>
                <w:b/>
                <w:bCs/>
                <w:color w:val="000000"/>
                <w:szCs w:val="24"/>
              </w:rPr>
              <w:t>调查设计</w:t>
            </w:r>
          </w:p>
        </w:tc>
        <w:tc>
          <w:tcPr>
            <w:tcW w:w="3921" w:type="dxa"/>
            <w:tcBorders>
              <w:top w:val="single" w:color="auto" w:sz="4" w:space="0"/>
              <w:left w:val="single" w:color="auto" w:sz="4" w:space="0"/>
              <w:bottom w:val="nil"/>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调查的策划与调查方案的设计</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141" w:hRule="atLeast"/>
          <w:jc w:val="center"/>
        </w:trPr>
        <w:tc>
          <w:tcPr>
            <w:tcW w:w="731"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000000" w:sz="4" w:space="0"/>
              <w:right w:val="nil"/>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single" w:color="auto" w:sz="4" w:space="0"/>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（不含抽样设计和问卷设计）</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731" w:type="dxa"/>
            <w:tcBorders>
              <w:top w:val="nil"/>
              <w:left w:val="single" w:color="auto" w:sz="4" w:space="0"/>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4</w:t>
            </w:r>
          </w:p>
        </w:tc>
        <w:tc>
          <w:tcPr>
            <w:tcW w:w="2409" w:type="dxa"/>
            <w:tcBorders>
              <w:top w:val="nil"/>
              <w:left w:val="nil"/>
              <w:bottom w:val="single" w:color="auto" w:sz="4" w:space="0"/>
              <w:right w:val="single" w:color="auto" w:sz="4" w:space="0"/>
            </w:tcBorders>
            <w:shd w:val="clear" w:color="000000" w:fill="DBE5F1"/>
            <w:vAlign w:val="center"/>
          </w:tcPr>
          <w:p>
            <w:pPr>
              <w:adjustRightInd/>
              <w:snapToGrid/>
              <w:spacing w:after="0" w:line="240" w:lineRule="auto"/>
              <w:ind w:firstLine="0" w:firstLineChars="0"/>
              <w:jc w:val="left"/>
              <w:rPr>
                <w:rFonts w:ascii="宋体" w:hAnsi="宋体" w:eastAsia="宋体" w:cs="宋体"/>
                <w:b/>
                <w:bCs/>
                <w:color w:val="000000"/>
                <w:szCs w:val="24"/>
              </w:rPr>
            </w:pPr>
            <w:r>
              <w:rPr>
                <w:rFonts w:hint="eastAsia" w:ascii="宋体" w:hAnsi="宋体" w:eastAsia="宋体" w:cs="宋体"/>
                <w:b/>
                <w:bCs/>
                <w:color w:val="000000"/>
                <w:szCs w:val="24"/>
              </w:rPr>
              <w:t>问卷与量表</w:t>
            </w:r>
          </w:p>
        </w:tc>
        <w:tc>
          <w:tcPr>
            <w:tcW w:w="3921" w:type="dxa"/>
            <w:tcBorders>
              <w:top w:val="nil"/>
              <w:left w:val="nil"/>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 xml:space="preserve">问卷及量表的设计与应用 </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35" w:hRule="atLeast"/>
          <w:jc w:val="center"/>
        </w:trPr>
        <w:tc>
          <w:tcPr>
            <w:tcW w:w="731" w:type="dxa"/>
            <w:vMerge w:val="restart"/>
            <w:tcBorders>
              <w:top w:val="nil"/>
              <w:left w:val="single" w:color="auto" w:sz="4" w:space="0"/>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5</w:t>
            </w:r>
          </w:p>
        </w:tc>
        <w:tc>
          <w:tcPr>
            <w:tcW w:w="2409" w:type="dxa"/>
            <w:vMerge w:val="restart"/>
            <w:tcBorders>
              <w:top w:val="nil"/>
              <w:left w:val="single" w:color="auto" w:sz="4" w:space="0"/>
              <w:bottom w:val="single" w:color="000000" w:sz="4" w:space="0"/>
              <w:right w:val="single" w:color="auto" w:sz="4" w:space="0"/>
            </w:tcBorders>
            <w:shd w:val="clear" w:color="000000" w:fill="DBE5F1"/>
            <w:vAlign w:val="center"/>
          </w:tcPr>
          <w:p>
            <w:pPr>
              <w:adjustRightInd/>
              <w:snapToGrid/>
              <w:spacing w:after="0" w:line="240" w:lineRule="auto"/>
              <w:ind w:firstLine="0" w:firstLineChars="0"/>
              <w:jc w:val="left"/>
              <w:rPr>
                <w:rFonts w:ascii="宋体" w:hAnsi="宋体" w:eastAsia="宋体" w:cs="宋体"/>
                <w:b/>
                <w:bCs/>
                <w:color w:val="000000"/>
                <w:szCs w:val="24"/>
              </w:rPr>
            </w:pPr>
            <w:r>
              <w:rPr>
                <w:rFonts w:hint="eastAsia" w:ascii="宋体" w:hAnsi="宋体" w:eastAsia="宋体" w:cs="宋体"/>
                <w:b/>
                <w:bCs/>
                <w:color w:val="000000"/>
                <w:szCs w:val="24"/>
              </w:rPr>
              <w:t>数据处理+报告</w:t>
            </w:r>
          </w:p>
        </w:tc>
        <w:tc>
          <w:tcPr>
            <w:tcW w:w="3921" w:type="dxa"/>
            <w:tcBorders>
              <w:top w:val="nil"/>
              <w:left w:val="nil"/>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调查数据的处理和汇总</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269"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nil"/>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调查报告的撰写和演示</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131" w:hRule="atLeast"/>
          <w:jc w:val="center"/>
        </w:trPr>
        <w:tc>
          <w:tcPr>
            <w:tcW w:w="731" w:type="dxa"/>
            <w:vMerge w:val="restart"/>
            <w:tcBorders>
              <w:top w:val="nil"/>
              <w:left w:val="single" w:color="auto" w:sz="4" w:space="0"/>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6</w:t>
            </w:r>
          </w:p>
        </w:tc>
        <w:tc>
          <w:tcPr>
            <w:tcW w:w="2409" w:type="dxa"/>
            <w:vMerge w:val="restart"/>
            <w:tcBorders>
              <w:top w:val="nil"/>
              <w:left w:val="single" w:color="auto" w:sz="4" w:space="0"/>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b/>
                <w:bCs/>
                <w:color w:val="000000"/>
                <w:szCs w:val="24"/>
              </w:rPr>
            </w:pPr>
            <w:r>
              <w:rPr>
                <w:rFonts w:hint="eastAsia" w:ascii="宋体" w:hAnsi="宋体" w:eastAsia="宋体" w:cs="宋体"/>
                <w:b/>
                <w:bCs/>
                <w:color w:val="000000"/>
                <w:szCs w:val="24"/>
              </w:rPr>
              <w:t>单变量分析</w:t>
            </w:r>
          </w:p>
        </w:tc>
        <w:tc>
          <w:tcPr>
            <w:tcW w:w="3921" w:type="dxa"/>
            <w:tcBorders>
              <w:top w:val="nil"/>
              <w:left w:val="nil"/>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规模、结构与比较分析</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277"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nil"/>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集中度分析</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267"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nil"/>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差异性分析</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rPr>
          <w:trHeight w:val="129"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nil"/>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参数估计</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133"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nil"/>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显著性检验</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123" w:hRule="atLeast"/>
          <w:jc w:val="center"/>
        </w:trPr>
        <w:tc>
          <w:tcPr>
            <w:tcW w:w="731" w:type="dxa"/>
            <w:vMerge w:val="restart"/>
            <w:tcBorders>
              <w:top w:val="nil"/>
              <w:left w:val="single" w:color="auto" w:sz="4" w:space="0"/>
              <w:bottom w:val="single" w:color="auto" w:sz="4" w:space="0"/>
              <w:right w:val="single" w:color="auto" w:sz="4" w:space="0"/>
            </w:tcBorders>
            <w:shd w:val="clear" w:color="000000" w:fill="B8CCE4"/>
            <w:noWrap/>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7</w:t>
            </w:r>
          </w:p>
        </w:tc>
        <w:tc>
          <w:tcPr>
            <w:tcW w:w="2409" w:type="dxa"/>
            <w:vMerge w:val="restart"/>
            <w:tcBorders>
              <w:top w:val="nil"/>
              <w:left w:val="single" w:color="auto" w:sz="4" w:space="0"/>
              <w:bottom w:val="single" w:color="auto" w:sz="4" w:space="0"/>
              <w:right w:val="single" w:color="auto" w:sz="4" w:space="0"/>
            </w:tcBorders>
            <w:shd w:val="clear" w:color="000000" w:fill="B8CCE4"/>
            <w:noWrap/>
            <w:vAlign w:val="center"/>
          </w:tcPr>
          <w:p>
            <w:pPr>
              <w:adjustRightInd/>
              <w:snapToGrid/>
              <w:spacing w:after="0" w:line="240" w:lineRule="auto"/>
              <w:ind w:firstLine="0" w:firstLineChars="0"/>
              <w:jc w:val="left"/>
              <w:rPr>
                <w:rFonts w:ascii="宋体" w:hAnsi="宋体" w:eastAsia="宋体" w:cs="宋体"/>
                <w:b/>
                <w:bCs/>
                <w:color w:val="000000"/>
                <w:szCs w:val="24"/>
              </w:rPr>
            </w:pPr>
            <w:r>
              <w:rPr>
                <w:rFonts w:hint="eastAsia" w:ascii="宋体" w:hAnsi="宋体" w:eastAsia="宋体" w:cs="宋体"/>
                <w:b/>
                <w:bCs/>
                <w:color w:val="000000"/>
                <w:szCs w:val="24"/>
              </w:rPr>
              <w:t>抽样估计</w:t>
            </w:r>
          </w:p>
        </w:tc>
        <w:tc>
          <w:tcPr>
            <w:tcW w:w="3921" w:type="dxa"/>
            <w:tcBorders>
              <w:top w:val="nil"/>
              <w:left w:val="nil"/>
              <w:bottom w:val="single" w:color="auto" w:sz="4" w:space="0"/>
              <w:right w:val="single" w:color="auto" w:sz="4" w:space="0"/>
            </w:tcBorders>
            <w:shd w:val="clear" w:color="000000" w:fill="B8CCE4"/>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抽样设计</w:t>
            </w:r>
          </w:p>
        </w:tc>
        <w:tc>
          <w:tcPr>
            <w:tcW w:w="899" w:type="dxa"/>
            <w:vMerge w:val="restart"/>
            <w:tcBorders>
              <w:top w:val="nil"/>
              <w:left w:val="single" w:color="auto" w:sz="4" w:space="0"/>
              <w:bottom w:val="single" w:color="auto" w:sz="4" w:space="0"/>
              <w:right w:val="single" w:color="auto" w:sz="4" w:space="0"/>
            </w:tcBorders>
            <w:shd w:val="clear" w:color="000000" w:fill="B8CCE4"/>
            <w:vAlign w:val="center"/>
          </w:tcPr>
          <w:p>
            <w:pPr>
              <w:adjustRightInd/>
              <w:snapToGrid/>
              <w:spacing w:after="0" w:line="240" w:lineRule="auto"/>
              <w:ind w:firstLine="0" w:firstLineChars="0"/>
              <w:jc w:val="center"/>
              <w:rPr>
                <w:rFonts w:ascii="宋体" w:hAnsi="宋体" w:eastAsia="宋体" w:cs="宋体"/>
                <w:color w:val="000000"/>
                <w:szCs w:val="24"/>
              </w:rPr>
            </w:pPr>
            <w:r>
              <w:rPr>
                <w:rFonts w:hint="eastAsia" w:ascii="宋体" w:hAnsi="宋体" w:eastAsia="宋体" w:cs="宋体"/>
                <w:b/>
                <w:color w:val="000000"/>
                <w:szCs w:val="24"/>
              </w:rPr>
              <w:t>中等</w:t>
            </w:r>
            <w:r>
              <w:rPr>
                <w:rFonts w:hint="eastAsia" w:ascii="宋体" w:hAnsi="宋体" w:eastAsia="宋体" w:cs="宋体"/>
                <w:color w:val="000000"/>
                <w:szCs w:val="24"/>
              </w:rPr>
              <w:t>30%</w:t>
            </w:r>
          </w:p>
        </w:tc>
      </w:tr>
      <w:tr>
        <w:tblPrEx>
          <w:tblCellMar>
            <w:top w:w="0" w:type="dxa"/>
            <w:left w:w="108" w:type="dxa"/>
            <w:bottom w:w="0" w:type="dxa"/>
            <w:right w:w="108" w:type="dxa"/>
          </w:tblCellMar>
        </w:tblPrEx>
        <w:trPr>
          <w:trHeight w:val="283"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nil"/>
              <w:bottom w:val="single" w:color="auto" w:sz="4" w:space="0"/>
              <w:right w:val="single" w:color="auto" w:sz="4" w:space="0"/>
            </w:tcBorders>
            <w:shd w:val="clear" w:color="000000" w:fill="B8CCE4"/>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抽样估计</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rPr>
          <w:trHeight w:val="118" w:hRule="atLeast"/>
          <w:jc w:val="center"/>
        </w:trPr>
        <w:tc>
          <w:tcPr>
            <w:tcW w:w="731" w:type="dxa"/>
            <w:vMerge w:val="restart"/>
            <w:tcBorders>
              <w:top w:val="nil"/>
              <w:left w:val="single" w:color="auto" w:sz="4" w:space="0"/>
              <w:bottom w:val="single" w:color="auto" w:sz="4" w:space="0"/>
              <w:right w:val="single" w:color="auto" w:sz="4" w:space="0"/>
            </w:tcBorders>
            <w:shd w:val="clear" w:color="000000" w:fill="B8CCE4"/>
            <w:noWrap/>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8</w:t>
            </w:r>
          </w:p>
        </w:tc>
        <w:tc>
          <w:tcPr>
            <w:tcW w:w="2409" w:type="dxa"/>
            <w:vMerge w:val="restart"/>
            <w:tcBorders>
              <w:top w:val="nil"/>
              <w:left w:val="single" w:color="auto" w:sz="4" w:space="0"/>
              <w:bottom w:val="single" w:color="auto" w:sz="4" w:space="0"/>
              <w:right w:val="single" w:color="auto" w:sz="4" w:space="0"/>
            </w:tcBorders>
            <w:shd w:val="clear" w:color="000000" w:fill="B8CCE4"/>
            <w:noWrap/>
            <w:vAlign w:val="center"/>
          </w:tcPr>
          <w:p>
            <w:pPr>
              <w:adjustRightInd/>
              <w:snapToGrid/>
              <w:spacing w:after="0" w:line="240" w:lineRule="auto"/>
              <w:ind w:firstLine="0" w:firstLineChars="0"/>
              <w:jc w:val="left"/>
              <w:rPr>
                <w:rFonts w:ascii="宋体" w:hAnsi="宋体" w:eastAsia="宋体" w:cs="宋体"/>
                <w:b/>
                <w:bCs/>
                <w:color w:val="000000"/>
                <w:szCs w:val="24"/>
              </w:rPr>
            </w:pPr>
            <w:r>
              <w:rPr>
                <w:rFonts w:hint="eastAsia" w:ascii="宋体" w:hAnsi="宋体" w:eastAsia="宋体" w:cs="宋体"/>
                <w:b/>
                <w:bCs/>
                <w:color w:val="000000"/>
                <w:szCs w:val="24"/>
              </w:rPr>
              <w:t>双变量关联分析</w:t>
            </w:r>
          </w:p>
        </w:tc>
        <w:tc>
          <w:tcPr>
            <w:tcW w:w="3921" w:type="dxa"/>
            <w:tcBorders>
              <w:top w:val="nil"/>
              <w:left w:val="nil"/>
              <w:bottom w:val="single" w:color="auto" w:sz="4" w:space="0"/>
              <w:right w:val="single" w:color="auto" w:sz="4" w:space="0"/>
            </w:tcBorders>
            <w:shd w:val="clear" w:color="000000" w:fill="B8CCE4"/>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双变量列联分析</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263"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nil"/>
              <w:bottom w:val="single" w:color="auto" w:sz="4" w:space="0"/>
              <w:right w:val="single" w:color="auto" w:sz="4" w:space="0"/>
            </w:tcBorders>
            <w:shd w:val="clear" w:color="000000" w:fill="B8CCE4"/>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双变量相关分析</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70"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nil"/>
              <w:bottom w:val="single" w:color="auto" w:sz="4" w:space="0"/>
              <w:right w:val="single" w:color="auto" w:sz="4" w:space="0"/>
            </w:tcBorders>
            <w:shd w:val="clear" w:color="000000" w:fill="B8CCE4"/>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双变量回归分析</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70" w:hRule="atLeast"/>
          <w:jc w:val="center"/>
        </w:trPr>
        <w:tc>
          <w:tcPr>
            <w:tcW w:w="731" w:type="dxa"/>
            <w:vMerge w:val="restart"/>
            <w:tcBorders>
              <w:top w:val="nil"/>
              <w:left w:val="single" w:color="auto" w:sz="4" w:space="0"/>
              <w:bottom w:val="single" w:color="auto" w:sz="4" w:space="0"/>
              <w:right w:val="single" w:color="auto" w:sz="4" w:space="0"/>
            </w:tcBorders>
            <w:shd w:val="clear" w:color="000000" w:fill="95B3D7"/>
            <w:noWrap/>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9</w:t>
            </w:r>
          </w:p>
        </w:tc>
        <w:tc>
          <w:tcPr>
            <w:tcW w:w="2409" w:type="dxa"/>
            <w:vMerge w:val="restart"/>
            <w:tcBorders>
              <w:top w:val="nil"/>
              <w:left w:val="single" w:color="auto" w:sz="4" w:space="0"/>
              <w:bottom w:val="single" w:color="auto" w:sz="4" w:space="0"/>
              <w:right w:val="single" w:color="auto" w:sz="4" w:space="0"/>
            </w:tcBorders>
            <w:shd w:val="clear" w:color="000000" w:fill="95B3D7"/>
            <w:noWrap/>
            <w:vAlign w:val="center"/>
          </w:tcPr>
          <w:p>
            <w:pPr>
              <w:adjustRightInd/>
              <w:snapToGrid/>
              <w:spacing w:after="0" w:line="240" w:lineRule="auto"/>
              <w:ind w:firstLine="0" w:firstLineChars="0"/>
              <w:jc w:val="left"/>
              <w:rPr>
                <w:rFonts w:ascii="宋体" w:hAnsi="宋体" w:eastAsia="宋体" w:cs="宋体"/>
                <w:b/>
                <w:bCs/>
                <w:color w:val="000000"/>
                <w:szCs w:val="24"/>
              </w:rPr>
            </w:pPr>
            <w:r>
              <w:rPr>
                <w:rFonts w:hint="eastAsia" w:ascii="宋体" w:hAnsi="宋体" w:eastAsia="宋体" w:cs="宋体"/>
                <w:b/>
                <w:bCs/>
                <w:color w:val="000000"/>
                <w:szCs w:val="24"/>
              </w:rPr>
              <w:t>多变量分析（1）</w:t>
            </w:r>
          </w:p>
        </w:tc>
        <w:tc>
          <w:tcPr>
            <w:tcW w:w="3921" w:type="dxa"/>
            <w:tcBorders>
              <w:top w:val="nil"/>
              <w:left w:val="nil"/>
              <w:bottom w:val="single" w:color="auto" w:sz="4" w:space="0"/>
              <w:right w:val="single" w:color="auto" w:sz="4" w:space="0"/>
            </w:tcBorders>
            <w:shd w:val="clear" w:color="000000" w:fill="95B3D7"/>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多变量方差分析</w:t>
            </w:r>
          </w:p>
        </w:tc>
        <w:tc>
          <w:tcPr>
            <w:tcW w:w="899" w:type="dxa"/>
            <w:vMerge w:val="restart"/>
            <w:tcBorders>
              <w:top w:val="nil"/>
              <w:left w:val="single" w:color="auto" w:sz="4" w:space="0"/>
              <w:bottom w:val="single" w:color="auto" w:sz="4" w:space="0"/>
              <w:right w:val="single" w:color="auto" w:sz="4" w:space="0"/>
            </w:tcBorders>
            <w:shd w:val="clear" w:color="000000" w:fill="95B3D7"/>
            <w:vAlign w:val="center"/>
          </w:tcPr>
          <w:p>
            <w:pPr>
              <w:adjustRightInd/>
              <w:snapToGrid/>
              <w:spacing w:after="0" w:line="240" w:lineRule="auto"/>
              <w:ind w:firstLine="0" w:firstLineChars="0"/>
              <w:jc w:val="center"/>
              <w:rPr>
                <w:rFonts w:ascii="宋体" w:hAnsi="宋体" w:eastAsia="宋体" w:cs="宋体"/>
                <w:color w:val="000000"/>
                <w:szCs w:val="24"/>
              </w:rPr>
            </w:pPr>
            <w:r>
              <w:rPr>
                <w:rFonts w:hint="eastAsia" w:ascii="宋体" w:hAnsi="宋体" w:eastAsia="宋体" w:cs="宋体"/>
                <w:b/>
                <w:color w:val="000000"/>
                <w:szCs w:val="24"/>
              </w:rPr>
              <w:t>较难</w:t>
            </w:r>
            <w:r>
              <w:rPr>
                <w:rFonts w:hint="eastAsia" w:ascii="宋体" w:hAnsi="宋体" w:eastAsia="宋体" w:cs="宋体"/>
                <w:color w:val="000000"/>
                <w:szCs w:val="24"/>
              </w:rPr>
              <w:t>10%</w:t>
            </w:r>
          </w:p>
        </w:tc>
      </w:tr>
      <w:tr>
        <w:tblPrEx>
          <w:tblCellMar>
            <w:top w:w="0" w:type="dxa"/>
            <w:left w:w="108" w:type="dxa"/>
            <w:bottom w:w="0" w:type="dxa"/>
            <w:right w:w="108" w:type="dxa"/>
          </w:tblCellMar>
        </w:tblPrEx>
        <w:trPr>
          <w:trHeight w:val="70"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nil"/>
              <w:bottom w:val="single" w:color="auto" w:sz="4" w:space="0"/>
              <w:right w:val="single" w:color="auto" w:sz="4" w:space="0"/>
            </w:tcBorders>
            <w:shd w:val="clear" w:color="000000" w:fill="95B3D7"/>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多变量相关与回归分析</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rPr>
          <w:trHeight w:val="70"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nil"/>
              <w:bottom w:val="single" w:color="auto" w:sz="4" w:space="0"/>
              <w:right w:val="single" w:color="auto" w:sz="4" w:space="0"/>
            </w:tcBorders>
            <w:shd w:val="clear" w:color="000000" w:fill="95B3D7"/>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分类模型——Logistic模型</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128" w:hRule="atLeast"/>
          <w:jc w:val="center"/>
        </w:trPr>
        <w:tc>
          <w:tcPr>
            <w:tcW w:w="731" w:type="dxa"/>
            <w:vMerge w:val="restart"/>
            <w:tcBorders>
              <w:top w:val="nil"/>
              <w:left w:val="single" w:color="auto" w:sz="4" w:space="0"/>
              <w:bottom w:val="single" w:color="auto" w:sz="4" w:space="0"/>
              <w:right w:val="single" w:color="auto" w:sz="4" w:space="0"/>
            </w:tcBorders>
            <w:shd w:val="clear" w:color="000000" w:fill="95B3D7"/>
            <w:noWrap/>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10</w:t>
            </w:r>
          </w:p>
        </w:tc>
        <w:tc>
          <w:tcPr>
            <w:tcW w:w="2409" w:type="dxa"/>
            <w:vMerge w:val="restart"/>
            <w:tcBorders>
              <w:top w:val="nil"/>
              <w:left w:val="single" w:color="auto" w:sz="4" w:space="0"/>
              <w:bottom w:val="single" w:color="auto" w:sz="4" w:space="0"/>
              <w:right w:val="single" w:color="auto" w:sz="4" w:space="0"/>
            </w:tcBorders>
            <w:shd w:val="clear" w:color="000000" w:fill="95B3D7"/>
            <w:noWrap/>
            <w:vAlign w:val="center"/>
          </w:tcPr>
          <w:p>
            <w:pPr>
              <w:adjustRightInd/>
              <w:snapToGrid/>
              <w:spacing w:after="0" w:line="240" w:lineRule="auto"/>
              <w:ind w:firstLine="0" w:firstLineChars="0"/>
              <w:jc w:val="left"/>
              <w:rPr>
                <w:rFonts w:ascii="宋体" w:hAnsi="宋体" w:eastAsia="宋体" w:cs="宋体"/>
                <w:b/>
                <w:bCs/>
                <w:color w:val="000000"/>
                <w:szCs w:val="24"/>
              </w:rPr>
            </w:pPr>
            <w:r>
              <w:rPr>
                <w:rFonts w:hint="eastAsia" w:ascii="宋体" w:hAnsi="宋体" w:eastAsia="宋体" w:cs="宋体"/>
                <w:b/>
                <w:bCs/>
                <w:color w:val="000000"/>
                <w:szCs w:val="24"/>
              </w:rPr>
              <w:t>多变量分析（2）</w:t>
            </w:r>
          </w:p>
        </w:tc>
        <w:tc>
          <w:tcPr>
            <w:tcW w:w="3921" w:type="dxa"/>
            <w:tcBorders>
              <w:top w:val="nil"/>
              <w:left w:val="nil"/>
              <w:bottom w:val="single" w:color="auto" w:sz="4" w:space="0"/>
              <w:right w:val="single" w:color="auto" w:sz="4" w:space="0"/>
            </w:tcBorders>
            <w:shd w:val="clear" w:color="000000" w:fill="95B3D7"/>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多变量因子分析</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131"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nil"/>
              <w:bottom w:val="single" w:color="auto" w:sz="4" w:space="0"/>
              <w:right w:val="single" w:color="auto" w:sz="4" w:space="0"/>
            </w:tcBorders>
            <w:shd w:val="clear" w:color="000000" w:fill="95B3D7"/>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多变量聚类分析</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rPr>
          <w:trHeight w:val="277"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nil"/>
              <w:bottom w:val="single" w:color="auto" w:sz="4" w:space="0"/>
              <w:right w:val="single" w:color="auto" w:sz="4" w:space="0"/>
            </w:tcBorders>
            <w:shd w:val="clear" w:color="000000" w:fill="95B3D7"/>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多变量对应分析</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125"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nil"/>
              <w:bottom w:val="single" w:color="auto" w:sz="4" w:space="0"/>
              <w:right w:val="single" w:color="auto" w:sz="4" w:space="0"/>
            </w:tcBorders>
            <w:shd w:val="clear" w:color="000000" w:fill="95B3D7"/>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多维标度分析</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144"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nil"/>
              <w:bottom w:val="single" w:color="auto" w:sz="4" w:space="0"/>
              <w:right w:val="single" w:color="auto" w:sz="4" w:space="0"/>
            </w:tcBorders>
            <w:shd w:val="clear" w:color="000000" w:fill="95B3D7"/>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联合分析</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70" w:hRule="atLeast"/>
          <w:jc w:val="center"/>
        </w:trPr>
        <w:tc>
          <w:tcPr>
            <w:tcW w:w="73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40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3921" w:type="dxa"/>
            <w:tcBorders>
              <w:top w:val="nil"/>
              <w:left w:val="nil"/>
              <w:bottom w:val="single" w:color="auto" w:sz="4" w:space="0"/>
              <w:right w:val="single" w:color="auto" w:sz="4" w:space="0"/>
            </w:tcBorders>
            <w:shd w:val="clear" w:color="000000" w:fill="95B3D7"/>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多变量综合评价</w:t>
            </w:r>
          </w:p>
        </w:tc>
        <w:tc>
          <w:tcPr>
            <w:tcW w:w="899"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bl>
    <w:p>
      <w:pPr>
        <w:spacing w:before="120" w:beforeLines="50"/>
        <w:ind w:firstLine="480"/>
      </w:pPr>
      <w:r>
        <w:rPr>
          <w:rFonts w:hint="eastAsia"/>
        </w:rPr>
        <w:t>以上为本科组卷时依据的章节构成，最后一列难度依入卷题分数确定，不代表题目数量。</w:t>
      </w:r>
    </w:p>
    <w:p>
      <w:pPr>
        <w:spacing w:before="120" w:beforeLines="50"/>
        <w:ind w:firstLine="480"/>
      </w:pPr>
      <w:r>
        <w:rPr>
          <w:rFonts w:hint="eastAsia"/>
        </w:rPr>
        <w:t>（下页为专科知识点）</w:t>
      </w:r>
    </w:p>
    <w:p>
      <w:pPr>
        <w:adjustRightInd/>
        <w:snapToGrid/>
        <w:spacing w:after="200" w:line="220" w:lineRule="atLeast"/>
        <w:ind w:firstLine="0" w:firstLineChars="0"/>
        <w:jc w:val="left"/>
      </w:pPr>
      <w:r>
        <w:br w:type="page"/>
      </w:r>
      <w:r>
        <w:rPr>
          <w:rFonts w:hint="eastAsia"/>
        </w:rPr>
        <w:t>专科测试参照教育部“十二五”高职院校规划教材的章节内容并做适当调整，具体知识点分布如下：</w:t>
      </w:r>
    </w:p>
    <w:p>
      <w:pPr>
        <w:spacing w:before="120" w:beforeLines="50"/>
        <w:ind w:firstLine="482"/>
        <w:rPr>
          <w:b/>
        </w:rPr>
      </w:pPr>
      <w:r>
        <w:rPr>
          <w:rFonts w:hint="eastAsia"/>
          <w:b/>
        </w:rPr>
        <w:t>专科网络测试章节及知识点设置：</w:t>
      </w:r>
    </w:p>
    <w:tbl>
      <w:tblPr>
        <w:tblStyle w:val="9"/>
        <w:tblW w:w="8520" w:type="dxa"/>
        <w:jc w:val="center"/>
        <w:tblLayout w:type="autofit"/>
        <w:tblCellMar>
          <w:top w:w="0" w:type="dxa"/>
          <w:left w:w="108" w:type="dxa"/>
          <w:bottom w:w="0" w:type="dxa"/>
          <w:right w:w="108" w:type="dxa"/>
        </w:tblCellMar>
      </w:tblPr>
      <w:tblGrid>
        <w:gridCol w:w="816"/>
        <w:gridCol w:w="2601"/>
        <w:gridCol w:w="4111"/>
        <w:gridCol w:w="992"/>
      </w:tblGrid>
      <w:tr>
        <w:tblPrEx>
          <w:tblCellMar>
            <w:top w:w="0" w:type="dxa"/>
            <w:left w:w="108" w:type="dxa"/>
            <w:bottom w:w="0" w:type="dxa"/>
            <w:right w:w="108" w:type="dxa"/>
          </w:tblCellMar>
        </w:tblPrEx>
        <w:trPr>
          <w:trHeight w:val="490" w:hRule="atLeast"/>
          <w:jc w:val="center"/>
        </w:trPr>
        <w:tc>
          <w:tcPr>
            <w:tcW w:w="816" w:type="dxa"/>
            <w:vMerge w:val="restart"/>
            <w:tcBorders>
              <w:top w:val="single" w:color="auto" w:sz="4" w:space="0"/>
              <w:left w:val="single" w:color="auto" w:sz="4" w:space="0"/>
              <w:bottom w:val="single" w:color="auto" w:sz="4" w:space="0"/>
              <w:right w:val="single" w:color="auto" w:sz="4" w:space="0"/>
            </w:tcBorders>
            <w:shd w:val="clear" w:color="000000" w:fill="8DB4E3"/>
            <w:noWrap/>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序号</w:t>
            </w:r>
          </w:p>
        </w:tc>
        <w:tc>
          <w:tcPr>
            <w:tcW w:w="2601" w:type="dxa"/>
            <w:vMerge w:val="restart"/>
            <w:tcBorders>
              <w:top w:val="single" w:color="auto" w:sz="4" w:space="0"/>
              <w:left w:val="single" w:color="auto" w:sz="4" w:space="0"/>
              <w:bottom w:val="single" w:color="auto" w:sz="4" w:space="0"/>
              <w:right w:val="single" w:color="auto" w:sz="4" w:space="0"/>
            </w:tcBorders>
            <w:shd w:val="clear" w:color="000000" w:fill="8DB4E3"/>
            <w:noWrap/>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章节</w:t>
            </w:r>
          </w:p>
        </w:tc>
        <w:tc>
          <w:tcPr>
            <w:tcW w:w="4111" w:type="dxa"/>
            <w:vMerge w:val="restart"/>
            <w:tcBorders>
              <w:top w:val="single" w:color="auto" w:sz="4" w:space="0"/>
              <w:left w:val="single" w:color="auto" w:sz="4" w:space="0"/>
              <w:bottom w:val="nil"/>
              <w:right w:val="nil"/>
            </w:tcBorders>
            <w:shd w:val="clear" w:color="000000" w:fill="8DB4E3"/>
            <w:noWrap/>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包含内容</w:t>
            </w:r>
          </w:p>
        </w:tc>
        <w:tc>
          <w:tcPr>
            <w:tcW w:w="992" w:type="dxa"/>
            <w:vMerge w:val="restart"/>
            <w:tcBorders>
              <w:top w:val="single" w:color="auto" w:sz="4" w:space="0"/>
              <w:left w:val="single" w:color="auto" w:sz="4" w:space="0"/>
              <w:bottom w:val="single" w:color="auto" w:sz="4" w:space="0"/>
              <w:right w:val="single" w:color="auto" w:sz="4" w:space="0"/>
            </w:tcBorders>
            <w:shd w:val="clear" w:color="000000" w:fill="8DB4E3"/>
            <w:noWrap/>
            <w:vAlign w:val="center"/>
          </w:tcPr>
          <w:p>
            <w:pPr>
              <w:adjustRightInd/>
              <w:snapToGrid/>
              <w:spacing w:after="0" w:line="240" w:lineRule="auto"/>
              <w:ind w:firstLine="0" w:firstLineChars="0"/>
              <w:jc w:val="center"/>
              <w:rPr>
                <w:rFonts w:ascii="宋体" w:hAnsi="宋体" w:eastAsia="宋体" w:cs="宋体"/>
                <w:b/>
                <w:bCs/>
                <w:color w:val="000000"/>
                <w:szCs w:val="24"/>
              </w:rPr>
            </w:pPr>
            <w:r>
              <w:rPr>
                <w:rFonts w:hint="eastAsia" w:ascii="宋体" w:hAnsi="宋体" w:eastAsia="宋体" w:cs="宋体"/>
                <w:b/>
                <w:bCs/>
                <w:color w:val="000000"/>
                <w:szCs w:val="24"/>
              </w:rPr>
              <w:t>难度</w:t>
            </w:r>
          </w:p>
        </w:tc>
      </w:tr>
      <w:tr>
        <w:tblPrEx>
          <w:tblCellMar>
            <w:top w:w="0" w:type="dxa"/>
            <w:left w:w="108" w:type="dxa"/>
            <w:bottom w:w="0" w:type="dxa"/>
            <w:right w:w="108" w:type="dxa"/>
          </w:tblCellMar>
        </w:tblPrEx>
        <w:trPr>
          <w:trHeight w:val="490" w:hRule="atLeast"/>
          <w:jc w:val="center"/>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2601"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4111" w:type="dxa"/>
            <w:vMerge w:val="continue"/>
            <w:tcBorders>
              <w:top w:val="single" w:color="auto" w:sz="4" w:space="0"/>
              <w:left w:val="single" w:color="auto" w:sz="4" w:space="0"/>
              <w:bottom w:val="nil"/>
              <w:right w:val="nil"/>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bCs/>
                <w:color w:val="000000"/>
                <w:szCs w:val="24"/>
              </w:rPr>
            </w:pPr>
          </w:p>
        </w:tc>
      </w:tr>
      <w:tr>
        <w:tblPrEx>
          <w:tblCellMar>
            <w:top w:w="0" w:type="dxa"/>
            <w:left w:w="108" w:type="dxa"/>
            <w:bottom w:w="0" w:type="dxa"/>
            <w:right w:w="108" w:type="dxa"/>
          </w:tblCellMar>
        </w:tblPrEx>
        <w:trPr>
          <w:trHeight w:val="375" w:hRule="atLeast"/>
          <w:jc w:val="center"/>
        </w:trPr>
        <w:tc>
          <w:tcPr>
            <w:tcW w:w="816" w:type="dxa"/>
            <w:vMerge w:val="restart"/>
            <w:tcBorders>
              <w:top w:val="nil"/>
              <w:left w:val="single" w:color="auto" w:sz="4" w:space="0"/>
              <w:bottom w:val="single" w:color="000000" w:sz="4" w:space="0"/>
              <w:right w:val="single" w:color="auto" w:sz="4" w:space="0"/>
            </w:tcBorders>
            <w:shd w:val="clear" w:color="000000" w:fill="DBE5F1"/>
            <w:noWrap/>
            <w:vAlign w:val="center"/>
          </w:tcPr>
          <w:p>
            <w:pPr>
              <w:adjustRightInd/>
              <w:snapToGrid/>
              <w:spacing w:after="0" w:line="240" w:lineRule="auto"/>
              <w:ind w:firstLine="0" w:firstLineChars="0"/>
              <w:jc w:val="center"/>
              <w:rPr>
                <w:rFonts w:eastAsia="宋体" w:cs="Tahoma"/>
                <w:color w:val="000000"/>
                <w:szCs w:val="24"/>
              </w:rPr>
            </w:pPr>
            <w:r>
              <w:rPr>
                <w:rFonts w:eastAsia="宋体" w:cs="Tahoma"/>
                <w:color w:val="000000"/>
                <w:szCs w:val="24"/>
              </w:rPr>
              <w:t>1</w:t>
            </w:r>
          </w:p>
        </w:tc>
        <w:tc>
          <w:tcPr>
            <w:tcW w:w="2601" w:type="dxa"/>
            <w:vMerge w:val="restart"/>
            <w:tcBorders>
              <w:top w:val="nil"/>
              <w:left w:val="single" w:color="auto" w:sz="4" w:space="0"/>
              <w:bottom w:val="single" w:color="000000"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b/>
                <w:color w:val="000000"/>
                <w:szCs w:val="24"/>
              </w:rPr>
            </w:pPr>
            <w:r>
              <w:rPr>
                <w:rFonts w:hint="eastAsia" w:ascii="宋体" w:hAnsi="宋体" w:eastAsia="宋体" w:cs="宋体"/>
                <w:b/>
                <w:color w:val="000000"/>
                <w:szCs w:val="24"/>
              </w:rPr>
              <w:t>市场调查概述</w:t>
            </w:r>
          </w:p>
        </w:tc>
        <w:tc>
          <w:tcPr>
            <w:tcW w:w="4111" w:type="dxa"/>
            <w:tcBorders>
              <w:top w:val="single" w:color="auto" w:sz="4" w:space="0"/>
              <w:left w:val="nil"/>
              <w:bottom w:val="single" w:color="auto" w:sz="4" w:space="0"/>
              <w:right w:val="nil"/>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市场调查基本知识、基本程序</w:t>
            </w:r>
          </w:p>
        </w:tc>
        <w:tc>
          <w:tcPr>
            <w:tcW w:w="992" w:type="dxa"/>
            <w:vMerge w:val="restart"/>
            <w:tcBorders>
              <w:top w:val="nil"/>
              <w:left w:val="single" w:color="auto" w:sz="4" w:space="0"/>
              <w:bottom w:val="single" w:color="auto" w:sz="4" w:space="0"/>
              <w:right w:val="single" w:color="auto" w:sz="4" w:space="0"/>
            </w:tcBorders>
            <w:shd w:val="clear" w:color="000000" w:fill="DBE5F1"/>
            <w:vAlign w:val="center"/>
          </w:tcPr>
          <w:p>
            <w:pPr>
              <w:adjustRightInd/>
              <w:snapToGrid/>
              <w:spacing w:after="0" w:line="240" w:lineRule="auto"/>
              <w:ind w:firstLine="0" w:firstLineChars="0"/>
              <w:jc w:val="center"/>
              <w:rPr>
                <w:rFonts w:ascii="宋体" w:hAnsi="宋体" w:eastAsia="宋体" w:cs="宋体"/>
                <w:color w:val="000000"/>
                <w:szCs w:val="24"/>
              </w:rPr>
            </w:pPr>
            <w:r>
              <w:rPr>
                <w:rFonts w:hint="eastAsia" w:ascii="宋体" w:hAnsi="宋体" w:eastAsia="宋体" w:cs="宋体"/>
                <w:b/>
                <w:bCs/>
                <w:color w:val="000000"/>
                <w:szCs w:val="24"/>
              </w:rPr>
              <w:t>简单</w:t>
            </w:r>
            <w:r>
              <w:rPr>
                <w:rFonts w:hint="eastAsia" w:ascii="宋体" w:hAnsi="宋体" w:eastAsia="宋体" w:cs="宋体"/>
                <w:color w:val="000000"/>
                <w:szCs w:val="24"/>
              </w:rPr>
              <w:t>70%</w:t>
            </w:r>
          </w:p>
        </w:tc>
      </w:tr>
      <w:tr>
        <w:tblPrEx>
          <w:tblCellMar>
            <w:top w:w="0" w:type="dxa"/>
            <w:left w:w="108" w:type="dxa"/>
            <w:bottom w:w="0" w:type="dxa"/>
            <w:right w:w="108" w:type="dxa"/>
          </w:tblCellMar>
        </w:tblPrEx>
        <w:trPr>
          <w:trHeight w:val="375" w:hRule="atLeast"/>
          <w:jc w:val="center"/>
        </w:trPr>
        <w:tc>
          <w:tcPr>
            <w:tcW w:w="816"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eastAsia="宋体" w:cs="Tahoma"/>
                <w:color w:val="000000"/>
                <w:szCs w:val="24"/>
              </w:rPr>
            </w:pPr>
          </w:p>
        </w:tc>
        <w:tc>
          <w:tcPr>
            <w:tcW w:w="2601"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color w:val="000000"/>
                <w:szCs w:val="24"/>
              </w:rPr>
            </w:pPr>
          </w:p>
        </w:tc>
        <w:tc>
          <w:tcPr>
            <w:tcW w:w="4111" w:type="dxa"/>
            <w:tcBorders>
              <w:top w:val="nil"/>
              <w:left w:val="nil"/>
              <w:bottom w:val="single" w:color="auto" w:sz="4" w:space="0"/>
              <w:right w:val="nil"/>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市场调查的应用范围</w:t>
            </w:r>
          </w:p>
        </w:tc>
        <w:tc>
          <w:tcPr>
            <w:tcW w:w="992"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816" w:type="dxa"/>
            <w:vMerge w:val="restart"/>
            <w:tcBorders>
              <w:top w:val="nil"/>
              <w:left w:val="single" w:color="auto" w:sz="4" w:space="0"/>
              <w:bottom w:val="single" w:color="000000" w:sz="4" w:space="0"/>
              <w:right w:val="single" w:color="auto" w:sz="4" w:space="0"/>
            </w:tcBorders>
            <w:shd w:val="clear" w:color="000000" w:fill="DBE5F1"/>
            <w:noWrap/>
            <w:vAlign w:val="center"/>
          </w:tcPr>
          <w:p>
            <w:pPr>
              <w:adjustRightInd/>
              <w:snapToGrid/>
              <w:spacing w:after="0" w:line="240" w:lineRule="auto"/>
              <w:ind w:firstLine="0" w:firstLineChars="0"/>
              <w:jc w:val="center"/>
              <w:rPr>
                <w:rFonts w:eastAsia="宋体" w:cs="Tahoma"/>
                <w:color w:val="000000"/>
                <w:szCs w:val="24"/>
              </w:rPr>
            </w:pPr>
            <w:r>
              <w:rPr>
                <w:rFonts w:eastAsia="宋体" w:cs="Tahoma"/>
                <w:color w:val="000000"/>
                <w:szCs w:val="24"/>
              </w:rPr>
              <w:t>2</w:t>
            </w:r>
          </w:p>
        </w:tc>
        <w:tc>
          <w:tcPr>
            <w:tcW w:w="2601" w:type="dxa"/>
            <w:vMerge w:val="restart"/>
            <w:tcBorders>
              <w:top w:val="nil"/>
              <w:left w:val="single" w:color="auto" w:sz="4" w:space="0"/>
              <w:bottom w:val="single" w:color="000000"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b/>
                <w:color w:val="000000"/>
                <w:szCs w:val="24"/>
              </w:rPr>
            </w:pPr>
            <w:r>
              <w:rPr>
                <w:rFonts w:hint="eastAsia" w:ascii="宋体" w:hAnsi="宋体" w:eastAsia="宋体" w:cs="宋体"/>
                <w:b/>
                <w:color w:val="000000"/>
                <w:szCs w:val="24"/>
              </w:rPr>
              <w:t>调查方案设计</w:t>
            </w:r>
          </w:p>
        </w:tc>
        <w:tc>
          <w:tcPr>
            <w:tcW w:w="4111" w:type="dxa"/>
            <w:tcBorders>
              <w:top w:val="nil"/>
              <w:left w:val="nil"/>
              <w:bottom w:val="nil"/>
              <w:right w:val="nil"/>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调查的策划与调查方案的设计</w:t>
            </w:r>
          </w:p>
        </w:tc>
        <w:tc>
          <w:tcPr>
            <w:tcW w:w="992"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816"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eastAsia="宋体" w:cs="Tahoma"/>
                <w:color w:val="000000"/>
                <w:szCs w:val="24"/>
              </w:rPr>
            </w:pPr>
          </w:p>
        </w:tc>
        <w:tc>
          <w:tcPr>
            <w:tcW w:w="2601"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color w:val="000000"/>
                <w:szCs w:val="24"/>
              </w:rPr>
            </w:pPr>
          </w:p>
        </w:tc>
        <w:tc>
          <w:tcPr>
            <w:tcW w:w="4111" w:type="dxa"/>
            <w:tcBorders>
              <w:top w:val="nil"/>
              <w:left w:val="nil"/>
              <w:bottom w:val="single" w:color="auto" w:sz="4" w:space="0"/>
              <w:right w:val="nil"/>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（不含抽样设计和问卷设计）</w:t>
            </w:r>
          </w:p>
        </w:tc>
        <w:tc>
          <w:tcPr>
            <w:tcW w:w="992"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816" w:type="dxa"/>
            <w:tcBorders>
              <w:top w:val="nil"/>
              <w:left w:val="single" w:color="auto" w:sz="4" w:space="0"/>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center"/>
              <w:rPr>
                <w:rFonts w:eastAsia="宋体" w:cs="Tahoma"/>
                <w:color w:val="000000"/>
                <w:szCs w:val="24"/>
              </w:rPr>
            </w:pPr>
            <w:r>
              <w:rPr>
                <w:rFonts w:eastAsia="宋体" w:cs="Tahoma"/>
                <w:color w:val="000000"/>
                <w:szCs w:val="24"/>
              </w:rPr>
              <w:t>3</w:t>
            </w:r>
          </w:p>
        </w:tc>
        <w:tc>
          <w:tcPr>
            <w:tcW w:w="2601" w:type="dxa"/>
            <w:tcBorders>
              <w:top w:val="nil"/>
              <w:left w:val="nil"/>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b/>
                <w:color w:val="000000"/>
                <w:szCs w:val="24"/>
              </w:rPr>
            </w:pPr>
            <w:r>
              <w:rPr>
                <w:rFonts w:hint="eastAsia" w:ascii="宋体" w:hAnsi="宋体" w:eastAsia="宋体" w:cs="宋体"/>
                <w:b/>
                <w:color w:val="000000"/>
                <w:szCs w:val="24"/>
              </w:rPr>
              <w:t>问卷及量表设计</w:t>
            </w:r>
          </w:p>
        </w:tc>
        <w:tc>
          <w:tcPr>
            <w:tcW w:w="4111" w:type="dxa"/>
            <w:tcBorders>
              <w:top w:val="nil"/>
              <w:left w:val="nil"/>
              <w:bottom w:val="single" w:color="auto" w:sz="4" w:space="0"/>
              <w:right w:val="nil"/>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 xml:space="preserve">问卷及量表的设计与应用 </w:t>
            </w:r>
          </w:p>
        </w:tc>
        <w:tc>
          <w:tcPr>
            <w:tcW w:w="992"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816" w:type="dxa"/>
            <w:vMerge w:val="restart"/>
            <w:tcBorders>
              <w:top w:val="nil"/>
              <w:left w:val="single" w:color="auto" w:sz="4" w:space="0"/>
              <w:bottom w:val="single" w:color="000000" w:sz="4" w:space="0"/>
              <w:right w:val="single" w:color="auto" w:sz="4" w:space="0"/>
            </w:tcBorders>
            <w:shd w:val="clear" w:color="000000" w:fill="DBE5F1"/>
            <w:noWrap/>
            <w:vAlign w:val="center"/>
          </w:tcPr>
          <w:p>
            <w:pPr>
              <w:adjustRightInd/>
              <w:snapToGrid/>
              <w:spacing w:after="0" w:line="240" w:lineRule="auto"/>
              <w:ind w:firstLine="0" w:firstLineChars="0"/>
              <w:jc w:val="center"/>
              <w:rPr>
                <w:rFonts w:eastAsia="宋体" w:cs="Tahoma"/>
                <w:color w:val="000000"/>
                <w:szCs w:val="24"/>
              </w:rPr>
            </w:pPr>
            <w:r>
              <w:rPr>
                <w:rFonts w:eastAsia="宋体" w:cs="Tahoma"/>
                <w:color w:val="000000"/>
                <w:szCs w:val="24"/>
              </w:rPr>
              <w:t>4</w:t>
            </w:r>
          </w:p>
        </w:tc>
        <w:tc>
          <w:tcPr>
            <w:tcW w:w="2601" w:type="dxa"/>
            <w:vMerge w:val="restart"/>
            <w:tcBorders>
              <w:top w:val="nil"/>
              <w:left w:val="single" w:color="auto" w:sz="4" w:space="0"/>
              <w:bottom w:val="single" w:color="000000"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b/>
                <w:color w:val="000000"/>
                <w:szCs w:val="24"/>
              </w:rPr>
            </w:pPr>
            <w:r>
              <w:rPr>
                <w:rFonts w:hint="eastAsia" w:ascii="宋体" w:hAnsi="宋体" w:eastAsia="宋体" w:cs="宋体"/>
                <w:b/>
                <w:color w:val="000000"/>
                <w:szCs w:val="24"/>
              </w:rPr>
              <w:t>资料采集方法</w:t>
            </w:r>
          </w:p>
        </w:tc>
        <w:tc>
          <w:tcPr>
            <w:tcW w:w="4111" w:type="dxa"/>
            <w:tcBorders>
              <w:top w:val="nil"/>
              <w:left w:val="nil"/>
              <w:bottom w:val="single" w:color="auto" w:sz="4" w:space="0"/>
              <w:right w:val="nil"/>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定性数据收集的方法</w:t>
            </w:r>
          </w:p>
        </w:tc>
        <w:tc>
          <w:tcPr>
            <w:tcW w:w="992"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816"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eastAsia="宋体" w:cs="Tahoma"/>
                <w:color w:val="000000"/>
                <w:szCs w:val="24"/>
              </w:rPr>
            </w:pPr>
          </w:p>
        </w:tc>
        <w:tc>
          <w:tcPr>
            <w:tcW w:w="2601"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color w:val="000000"/>
                <w:szCs w:val="24"/>
              </w:rPr>
            </w:pPr>
          </w:p>
        </w:tc>
        <w:tc>
          <w:tcPr>
            <w:tcW w:w="4111" w:type="dxa"/>
            <w:tcBorders>
              <w:top w:val="nil"/>
              <w:left w:val="nil"/>
              <w:bottom w:val="single" w:color="auto" w:sz="4" w:space="0"/>
              <w:right w:val="nil"/>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定量数据收集的方法</w:t>
            </w:r>
          </w:p>
        </w:tc>
        <w:tc>
          <w:tcPr>
            <w:tcW w:w="992"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816"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eastAsia="宋体" w:cs="Tahoma"/>
                <w:color w:val="000000"/>
                <w:szCs w:val="24"/>
              </w:rPr>
            </w:pPr>
          </w:p>
        </w:tc>
        <w:tc>
          <w:tcPr>
            <w:tcW w:w="2601"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color w:val="000000"/>
                <w:szCs w:val="24"/>
              </w:rPr>
            </w:pPr>
          </w:p>
        </w:tc>
        <w:tc>
          <w:tcPr>
            <w:tcW w:w="4111" w:type="dxa"/>
            <w:tcBorders>
              <w:top w:val="nil"/>
              <w:left w:val="nil"/>
              <w:bottom w:val="single" w:color="auto" w:sz="4" w:space="0"/>
              <w:right w:val="nil"/>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一手和二手数据收集的方法</w:t>
            </w:r>
          </w:p>
        </w:tc>
        <w:tc>
          <w:tcPr>
            <w:tcW w:w="992"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816" w:type="dxa"/>
            <w:tcBorders>
              <w:top w:val="nil"/>
              <w:left w:val="single" w:color="auto" w:sz="4" w:space="0"/>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center"/>
              <w:rPr>
                <w:rFonts w:eastAsia="宋体" w:cs="Tahoma"/>
                <w:color w:val="000000"/>
                <w:szCs w:val="24"/>
              </w:rPr>
            </w:pPr>
            <w:r>
              <w:rPr>
                <w:rFonts w:eastAsia="宋体" w:cs="Tahoma"/>
                <w:color w:val="000000"/>
                <w:szCs w:val="24"/>
              </w:rPr>
              <w:t>5</w:t>
            </w:r>
          </w:p>
        </w:tc>
        <w:tc>
          <w:tcPr>
            <w:tcW w:w="2601" w:type="dxa"/>
            <w:tcBorders>
              <w:top w:val="nil"/>
              <w:left w:val="nil"/>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b/>
                <w:color w:val="000000"/>
                <w:szCs w:val="24"/>
              </w:rPr>
            </w:pPr>
            <w:r>
              <w:rPr>
                <w:rFonts w:hint="eastAsia" w:ascii="宋体" w:hAnsi="宋体" w:eastAsia="宋体" w:cs="宋体"/>
                <w:b/>
                <w:color w:val="000000"/>
                <w:szCs w:val="24"/>
              </w:rPr>
              <w:t>调查组织实施</w:t>
            </w:r>
          </w:p>
        </w:tc>
        <w:tc>
          <w:tcPr>
            <w:tcW w:w="4111" w:type="dxa"/>
            <w:tcBorders>
              <w:top w:val="nil"/>
              <w:left w:val="nil"/>
              <w:bottom w:val="nil"/>
              <w:right w:val="nil"/>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市场调查的组织与实施</w:t>
            </w:r>
          </w:p>
        </w:tc>
        <w:tc>
          <w:tcPr>
            <w:tcW w:w="992"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816" w:type="dxa"/>
            <w:tcBorders>
              <w:top w:val="nil"/>
              <w:left w:val="single" w:color="auto" w:sz="4" w:space="0"/>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center"/>
              <w:rPr>
                <w:rFonts w:eastAsia="宋体" w:cs="Tahoma"/>
                <w:color w:val="000000"/>
                <w:szCs w:val="24"/>
              </w:rPr>
            </w:pPr>
            <w:r>
              <w:rPr>
                <w:rFonts w:eastAsia="宋体" w:cs="Tahoma"/>
                <w:color w:val="000000"/>
                <w:szCs w:val="24"/>
              </w:rPr>
              <w:t>6</w:t>
            </w:r>
          </w:p>
        </w:tc>
        <w:tc>
          <w:tcPr>
            <w:tcW w:w="2601" w:type="dxa"/>
            <w:tcBorders>
              <w:top w:val="nil"/>
              <w:left w:val="nil"/>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b/>
                <w:color w:val="000000"/>
                <w:szCs w:val="24"/>
              </w:rPr>
            </w:pPr>
            <w:r>
              <w:rPr>
                <w:rFonts w:hint="eastAsia" w:ascii="宋体" w:hAnsi="宋体" w:eastAsia="宋体" w:cs="宋体"/>
                <w:b/>
                <w:color w:val="000000"/>
                <w:szCs w:val="24"/>
              </w:rPr>
              <w:t>数据的整理</w:t>
            </w:r>
          </w:p>
        </w:tc>
        <w:tc>
          <w:tcPr>
            <w:tcW w:w="4111" w:type="dxa"/>
            <w:tcBorders>
              <w:top w:val="single" w:color="auto" w:sz="4" w:space="0"/>
              <w:left w:val="nil"/>
              <w:bottom w:val="single" w:color="auto" w:sz="4" w:space="0"/>
              <w:right w:val="nil"/>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调查数据的处理和汇总</w:t>
            </w:r>
          </w:p>
        </w:tc>
        <w:tc>
          <w:tcPr>
            <w:tcW w:w="992"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816" w:type="dxa"/>
            <w:tcBorders>
              <w:top w:val="nil"/>
              <w:left w:val="single" w:color="auto" w:sz="4" w:space="0"/>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center"/>
              <w:rPr>
                <w:rFonts w:eastAsia="宋体" w:cs="Tahoma"/>
                <w:color w:val="000000"/>
                <w:szCs w:val="24"/>
              </w:rPr>
            </w:pPr>
            <w:r>
              <w:rPr>
                <w:rFonts w:eastAsia="宋体" w:cs="Tahoma"/>
                <w:color w:val="000000"/>
                <w:szCs w:val="24"/>
              </w:rPr>
              <w:t>7</w:t>
            </w:r>
          </w:p>
        </w:tc>
        <w:tc>
          <w:tcPr>
            <w:tcW w:w="2601" w:type="dxa"/>
            <w:tcBorders>
              <w:top w:val="nil"/>
              <w:left w:val="nil"/>
              <w:bottom w:val="single" w:color="auto"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b/>
                <w:color w:val="000000"/>
                <w:szCs w:val="24"/>
              </w:rPr>
            </w:pPr>
            <w:r>
              <w:rPr>
                <w:rFonts w:hint="eastAsia" w:ascii="宋体" w:hAnsi="宋体" w:eastAsia="宋体" w:cs="宋体"/>
                <w:b/>
                <w:color w:val="000000"/>
                <w:szCs w:val="24"/>
              </w:rPr>
              <w:t>报告的撰写</w:t>
            </w:r>
          </w:p>
        </w:tc>
        <w:tc>
          <w:tcPr>
            <w:tcW w:w="4111" w:type="dxa"/>
            <w:tcBorders>
              <w:top w:val="nil"/>
              <w:left w:val="nil"/>
              <w:bottom w:val="single" w:color="auto" w:sz="4" w:space="0"/>
              <w:right w:val="nil"/>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调查报告的撰写和演示</w:t>
            </w:r>
          </w:p>
        </w:tc>
        <w:tc>
          <w:tcPr>
            <w:tcW w:w="992"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816" w:type="dxa"/>
            <w:vMerge w:val="restart"/>
            <w:tcBorders>
              <w:top w:val="nil"/>
              <w:left w:val="single" w:color="auto" w:sz="4" w:space="0"/>
              <w:bottom w:val="single" w:color="000000" w:sz="4" w:space="0"/>
              <w:right w:val="single" w:color="auto" w:sz="4" w:space="0"/>
            </w:tcBorders>
            <w:shd w:val="clear" w:color="000000" w:fill="DBE5F1"/>
            <w:noWrap/>
            <w:vAlign w:val="center"/>
          </w:tcPr>
          <w:p>
            <w:pPr>
              <w:adjustRightInd/>
              <w:snapToGrid/>
              <w:spacing w:after="0" w:line="240" w:lineRule="auto"/>
              <w:ind w:firstLine="0" w:firstLineChars="0"/>
              <w:jc w:val="center"/>
              <w:rPr>
                <w:rFonts w:eastAsia="宋体" w:cs="Tahoma"/>
                <w:color w:val="000000"/>
                <w:szCs w:val="24"/>
              </w:rPr>
            </w:pPr>
            <w:r>
              <w:rPr>
                <w:rFonts w:eastAsia="宋体" w:cs="Tahoma"/>
                <w:color w:val="000000"/>
                <w:szCs w:val="24"/>
              </w:rPr>
              <w:t>8</w:t>
            </w:r>
          </w:p>
        </w:tc>
        <w:tc>
          <w:tcPr>
            <w:tcW w:w="2601" w:type="dxa"/>
            <w:vMerge w:val="restart"/>
            <w:tcBorders>
              <w:top w:val="nil"/>
              <w:left w:val="single" w:color="auto" w:sz="4" w:space="0"/>
              <w:bottom w:val="single" w:color="000000" w:sz="4" w:space="0"/>
              <w:right w:val="single" w:color="auto" w:sz="4" w:space="0"/>
            </w:tcBorders>
            <w:shd w:val="clear" w:color="000000" w:fill="DBE5F1"/>
            <w:noWrap/>
            <w:vAlign w:val="center"/>
          </w:tcPr>
          <w:p>
            <w:pPr>
              <w:adjustRightInd/>
              <w:snapToGrid/>
              <w:spacing w:after="0" w:line="240" w:lineRule="auto"/>
              <w:ind w:firstLine="0" w:firstLineChars="0"/>
              <w:jc w:val="left"/>
              <w:rPr>
                <w:rFonts w:ascii="宋体" w:hAnsi="宋体" w:eastAsia="宋体" w:cs="宋体"/>
                <w:b/>
                <w:color w:val="000000"/>
                <w:szCs w:val="24"/>
              </w:rPr>
            </w:pPr>
            <w:r>
              <w:rPr>
                <w:rFonts w:hint="eastAsia" w:ascii="宋体" w:hAnsi="宋体" w:eastAsia="宋体" w:cs="宋体"/>
                <w:b/>
                <w:color w:val="000000"/>
                <w:szCs w:val="24"/>
              </w:rPr>
              <w:t>描述统计基础</w:t>
            </w:r>
          </w:p>
        </w:tc>
        <w:tc>
          <w:tcPr>
            <w:tcW w:w="4111" w:type="dxa"/>
            <w:tcBorders>
              <w:top w:val="nil"/>
              <w:left w:val="nil"/>
              <w:bottom w:val="single" w:color="auto" w:sz="4" w:space="0"/>
              <w:right w:val="nil"/>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统计学基础知识</w:t>
            </w:r>
          </w:p>
        </w:tc>
        <w:tc>
          <w:tcPr>
            <w:tcW w:w="992"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816"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eastAsia="宋体" w:cs="Tahoma"/>
                <w:color w:val="000000"/>
                <w:szCs w:val="24"/>
              </w:rPr>
            </w:pPr>
          </w:p>
        </w:tc>
        <w:tc>
          <w:tcPr>
            <w:tcW w:w="2601"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color w:val="000000"/>
                <w:szCs w:val="24"/>
              </w:rPr>
            </w:pPr>
          </w:p>
        </w:tc>
        <w:tc>
          <w:tcPr>
            <w:tcW w:w="4111" w:type="dxa"/>
            <w:tcBorders>
              <w:top w:val="nil"/>
              <w:left w:val="nil"/>
              <w:bottom w:val="single" w:color="auto" w:sz="4" w:space="0"/>
              <w:right w:val="nil"/>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规模、结构与比较分析</w:t>
            </w:r>
          </w:p>
        </w:tc>
        <w:tc>
          <w:tcPr>
            <w:tcW w:w="992"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816"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eastAsia="宋体" w:cs="Tahoma"/>
                <w:color w:val="000000"/>
                <w:szCs w:val="24"/>
              </w:rPr>
            </w:pPr>
          </w:p>
        </w:tc>
        <w:tc>
          <w:tcPr>
            <w:tcW w:w="2601"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color w:val="000000"/>
                <w:szCs w:val="24"/>
              </w:rPr>
            </w:pPr>
          </w:p>
        </w:tc>
        <w:tc>
          <w:tcPr>
            <w:tcW w:w="4111" w:type="dxa"/>
            <w:tcBorders>
              <w:top w:val="nil"/>
              <w:left w:val="nil"/>
              <w:bottom w:val="single" w:color="auto" w:sz="4" w:space="0"/>
              <w:right w:val="nil"/>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集中度分析</w:t>
            </w:r>
          </w:p>
        </w:tc>
        <w:tc>
          <w:tcPr>
            <w:tcW w:w="992"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816"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eastAsia="宋体" w:cs="Tahoma"/>
                <w:color w:val="000000"/>
                <w:szCs w:val="24"/>
              </w:rPr>
            </w:pPr>
          </w:p>
        </w:tc>
        <w:tc>
          <w:tcPr>
            <w:tcW w:w="2601"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color w:val="000000"/>
                <w:szCs w:val="24"/>
              </w:rPr>
            </w:pPr>
          </w:p>
        </w:tc>
        <w:tc>
          <w:tcPr>
            <w:tcW w:w="4111" w:type="dxa"/>
            <w:tcBorders>
              <w:top w:val="nil"/>
              <w:left w:val="nil"/>
              <w:bottom w:val="single" w:color="auto" w:sz="4" w:space="0"/>
              <w:right w:val="nil"/>
            </w:tcBorders>
            <w:shd w:val="clear" w:color="000000" w:fill="DBE5F1"/>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差异性分析</w:t>
            </w:r>
          </w:p>
        </w:tc>
        <w:tc>
          <w:tcPr>
            <w:tcW w:w="992"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816" w:type="dxa"/>
            <w:vMerge w:val="restart"/>
            <w:tcBorders>
              <w:top w:val="nil"/>
              <w:left w:val="single" w:color="auto" w:sz="4" w:space="0"/>
              <w:bottom w:val="single" w:color="000000" w:sz="4" w:space="0"/>
              <w:right w:val="single" w:color="auto" w:sz="4" w:space="0"/>
            </w:tcBorders>
            <w:shd w:val="clear" w:color="000000" w:fill="B8CCE4"/>
            <w:noWrap/>
            <w:vAlign w:val="center"/>
          </w:tcPr>
          <w:p>
            <w:pPr>
              <w:adjustRightInd/>
              <w:snapToGrid/>
              <w:spacing w:after="0" w:line="240" w:lineRule="auto"/>
              <w:ind w:firstLine="0" w:firstLineChars="0"/>
              <w:jc w:val="center"/>
              <w:rPr>
                <w:rFonts w:eastAsia="宋体" w:cs="Tahoma"/>
                <w:color w:val="000000"/>
                <w:szCs w:val="24"/>
              </w:rPr>
            </w:pPr>
            <w:r>
              <w:rPr>
                <w:rFonts w:eastAsia="宋体" w:cs="Tahoma"/>
                <w:color w:val="000000"/>
                <w:szCs w:val="24"/>
              </w:rPr>
              <w:t>9</w:t>
            </w:r>
          </w:p>
        </w:tc>
        <w:tc>
          <w:tcPr>
            <w:tcW w:w="2601" w:type="dxa"/>
            <w:vMerge w:val="restart"/>
            <w:tcBorders>
              <w:top w:val="nil"/>
              <w:left w:val="single" w:color="auto" w:sz="4" w:space="0"/>
              <w:bottom w:val="single" w:color="000000" w:sz="4" w:space="0"/>
              <w:right w:val="single" w:color="auto" w:sz="4" w:space="0"/>
            </w:tcBorders>
            <w:shd w:val="clear" w:color="000000" w:fill="B8CCE4"/>
            <w:noWrap/>
            <w:vAlign w:val="center"/>
          </w:tcPr>
          <w:p>
            <w:pPr>
              <w:adjustRightInd/>
              <w:snapToGrid/>
              <w:spacing w:after="0" w:line="240" w:lineRule="auto"/>
              <w:ind w:firstLine="0" w:firstLineChars="0"/>
              <w:rPr>
                <w:rFonts w:ascii="宋体" w:hAnsi="宋体" w:eastAsia="宋体" w:cs="宋体"/>
                <w:b/>
                <w:color w:val="000000"/>
                <w:szCs w:val="24"/>
              </w:rPr>
            </w:pPr>
            <w:r>
              <w:rPr>
                <w:rFonts w:hint="eastAsia" w:ascii="宋体" w:hAnsi="宋体" w:eastAsia="宋体" w:cs="宋体"/>
                <w:b/>
                <w:color w:val="000000"/>
                <w:szCs w:val="24"/>
              </w:rPr>
              <w:t>抽样设计与推断</w:t>
            </w:r>
          </w:p>
        </w:tc>
        <w:tc>
          <w:tcPr>
            <w:tcW w:w="4111" w:type="dxa"/>
            <w:tcBorders>
              <w:top w:val="nil"/>
              <w:left w:val="nil"/>
              <w:bottom w:val="single" w:color="auto" w:sz="4" w:space="0"/>
              <w:right w:val="nil"/>
            </w:tcBorders>
            <w:shd w:val="clear" w:color="000000" w:fill="B8CCE4"/>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抽样设计</w:t>
            </w:r>
          </w:p>
        </w:tc>
        <w:tc>
          <w:tcPr>
            <w:tcW w:w="992" w:type="dxa"/>
            <w:vMerge w:val="restart"/>
            <w:tcBorders>
              <w:top w:val="nil"/>
              <w:left w:val="single" w:color="auto" w:sz="4" w:space="0"/>
              <w:bottom w:val="single" w:color="000000" w:sz="4" w:space="0"/>
              <w:right w:val="single" w:color="auto" w:sz="4" w:space="0"/>
            </w:tcBorders>
            <w:shd w:val="clear" w:color="000000" w:fill="B8CCE4"/>
            <w:vAlign w:val="center"/>
          </w:tcPr>
          <w:p>
            <w:pPr>
              <w:adjustRightInd/>
              <w:snapToGrid/>
              <w:spacing w:after="0" w:line="240" w:lineRule="auto"/>
              <w:ind w:firstLine="0" w:firstLineChars="0"/>
              <w:jc w:val="center"/>
              <w:rPr>
                <w:rFonts w:ascii="宋体" w:hAnsi="宋体" w:eastAsia="宋体" w:cs="宋体"/>
                <w:color w:val="000000"/>
                <w:szCs w:val="24"/>
              </w:rPr>
            </w:pPr>
            <w:r>
              <w:rPr>
                <w:rFonts w:hint="eastAsia" w:ascii="宋体" w:hAnsi="宋体" w:eastAsia="宋体" w:cs="宋体"/>
                <w:b/>
                <w:bCs/>
                <w:color w:val="000000"/>
                <w:szCs w:val="24"/>
              </w:rPr>
              <w:t>中等</w:t>
            </w:r>
            <w:r>
              <w:rPr>
                <w:rFonts w:hint="eastAsia" w:ascii="宋体" w:hAnsi="宋体" w:eastAsia="宋体" w:cs="宋体"/>
                <w:color w:val="000000"/>
                <w:szCs w:val="24"/>
              </w:rPr>
              <w:t>30%</w:t>
            </w:r>
          </w:p>
        </w:tc>
      </w:tr>
      <w:tr>
        <w:tblPrEx>
          <w:tblCellMar>
            <w:top w:w="0" w:type="dxa"/>
            <w:left w:w="108" w:type="dxa"/>
            <w:bottom w:w="0" w:type="dxa"/>
            <w:right w:w="108" w:type="dxa"/>
          </w:tblCellMar>
        </w:tblPrEx>
        <w:trPr>
          <w:trHeight w:val="375" w:hRule="atLeast"/>
          <w:jc w:val="center"/>
        </w:trPr>
        <w:tc>
          <w:tcPr>
            <w:tcW w:w="816"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eastAsia="宋体" w:cs="Tahoma"/>
                <w:color w:val="000000"/>
                <w:szCs w:val="24"/>
              </w:rPr>
            </w:pPr>
          </w:p>
        </w:tc>
        <w:tc>
          <w:tcPr>
            <w:tcW w:w="2601"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color w:val="000000"/>
                <w:szCs w:val="24"/>
              </w:rPr>
            </w:pPr>
          </w:p>
        </w:tc>
        <w:tc>
          <w:tcPr>
            <w:tcW w:w="4111" w:type="dxa"/>
            <w:tcBorders>
              <w:top w:val="nil"/>
              <w:left w:val="nil"/>
              <w:bottom w:val="single" w:color="auto" w:sz="4" w:space="0"/>
              <w:right w:val="nil"/>
            </w:tcBorders>
            <w:shd w:val="clear" w:color="000000" w:fill="B8CCE4"/>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抽样估计</w:t>
            </w:r>
          </w:p>
        </w:tc>
        <w:tc>
          <w:tcPr>
            <w:tcW w:w="992"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816" w:type="dxa"/>
            <w:vMerge w:val="restart"/>
            <w:tcBorders>
              <w:top w:val="nil"/>
              <w:left w:val="single" w:color="auto" w:sz="4" w:space="0"/>
              <w:bottom w:val="single" w:color="auto" w:sz="4" w:space="0"/>
              <w:right w:val="single" w:color="auto" w:sz="4" w:space="0"/>
            </w:tcBorders>
            <w:shd w:val="clear" w:color="000000" w:fill="B8CCE4"/>
            <w:noWrap/>
            <w:vAlign w:val="center"/>
          </w:tcPr>
          <w:p>
            <w:pPr>
              <w:adjustRightInd/>
              <w:snapToGrid/>
              <w:spacing w:after="0" w:line="240" w:lineRule="auto"/>
              <w:ind w:firstLine="0" w:firstLineChars="0"/>
              <w:jc w:val="center"/>
              <w:rPr>
                <w:rFonts w:eastAsia="宋体" w:cs="Tahoma"/>
                <w:color w:val="000000"/>
                <w:szCs w:val="24"/>
              </w:rPr>
            </w:pPr>
            <w:r>
              <w:rPr>
                <w:rFonts w:eastAsia="宋体" w:cs="Tahoma"/>
                <w:color w:val="000000"/>
                <w:szCs w:val="24"/>
              </w:rPr>
              <w:t>10</w:t>
            </w:r>
          </w:p>
        </w:tc>
        <w:tc>
          <w:tcPr>
            <w:tcW w:w="2601" w:type="dxa"/>
            <w:vMerge w:val="restart"/>
            <w:tcBorders>
              <w:top w:val="nil"/>
              <w:left w:val="single" w:color="auto" w:sz="4" w:space="0"/>
              <w:bottom w:val="single" w:color="auto" w:sz="4" w:space="0"/>
              <w:right w:val="single" w:color="auto" w:sz="4" w:space="0"/>
            </w:tcBorders>
            <w:shd w:val="clear" w:color="000000" w:fill="B8CCE4"/>
            <w:noWrap/>
            <w:vAlign w:val="center"/>
          </w:tcPr>
          <w:p>
            <w:pPr>
              <w:adjustRightInd/>
              <w:snapToGrid/>
              <w:spacing w:after="0" w:line="240" w:lineRule="auto"/>
              <w:ind w:firstLine="0" w:firstLineChars="0"/>
              <w:jc w:val="left"/>
              <w:rPr>
                <w:rFonts w:ascii="宋体" w:hAnsi="宋体" w:eastAsia="宋体" w:cs="宋体"/>
                <w:b/>
                <w:color w:val="000000"/>
                <w:szCs w:val="24"/>
              </w:rPr>
            </w:pPr>
            <w:r>
              <w:rPr>
                <w:rFonts w:hint="eastAsia" w:ascii="宋体" w:hAnsi="宋体" w:eastAsia="宋体" w:cs="宋体"/>
                <w:b/>
                <w:color w:val="000000"/>
                <w:szCs w:val="24"/>
              </w:rPr>
              <w:t>数据分析方法</w:t>
            </w:r>
          </w:p>
        </w:tc>
        <w:tc>
          <w:tcPr>
            <w:tcW w:w="4111" w:type="dxa"/>
            <w:tcBorders>
              <w:top w:val="nil"/>
              <w:left w:val="nil"/>
              <w:bottom w:val="single" w:color="auto" w:sz="4" w:space="0"/>
              <w:right w:val="nil"/>
            </w:tcBorders>
            <w:shd w:val="clear" w:color="000000" w:fill="B8CCE4"/>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时间序列分析</w:t>
            </w:r>
          </w:p>
        </w:tc>
        <w:tc>
          <w:tcPr>
            <w:tcW w:w="992"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816"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eastAsia="宋体" w:cs="Tahoma"/>
                <w:color w:val="000000"/>
                <w:szCs w:val="24"/>
              </w:rPr>
            </w:pPr>
          </w:p>
        </w:tc>
        <w:tc>
          <w:tcPr>
            <w:tcW w:w="260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color w:val="000000"/>
                <w:szCs w:val="24"/>
              </w:rPr>
            </w:pPr>
          </w:p>
        </w:tc>
        <w:tc>
          <w:tcPr>
            <w:tcW w:w="4111" w:type="dxa"/>
            <w:tcBorders>
              <w:top w:val="nil"/>
              <w:left w:val="nil"/>
              <w:bottom w:val="single" w:color="auto" w:sz="4" w:space="0"/>
              <w:right w:val="nil"/>
            </w:tcBorders>
            <w:shd w:val="clear" w:color="000000" w:fill="B8CCE4"/>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双变量相关分析</w:t>
            </w:r>
          </w:p>
        </w:tc>
        <w:tc>
          <w:tcPr>
            <w:tcW w:w="992"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r>
        <w:tblPrEx>
          <w:tblCellMar>
            <w:top w:w="0" w:type="dxa"/>
            <w:left w:w="108" w:type="dxa"/>
            <w:bottom w:w="0" w:type="dxa"/>
            <w:right w:w="108" w:type="dxa"/>
          </w:tblCellMar>
        </w:tblPrEx>
        <w:trPr>
          <w:trHeight w:val="375" w:hRule="atLeast"/>
          <w:jc w:val="center"/>
        </w:trPr>
        <w:tc>
          <w:tcPr>
            <w:tcW w:w="816"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eastAsia="宋体" w:cs="Tahoma"/>
                <w:color w:val="000000"/>
                <w:szCs w:val="24"/>
              </w:rPr>
            </w:pPr>
          </w:p>
        </w:tc>
        <w:tc>
          <w:tcPr>
            <w:tcW w:w="2601" w:type="dxa"/>
            <w:vMerge w:val="continue"/>
            <w:tcBorders>
              <w:top w:val="nil"/>
              <w:left w:val="single" w:color="auto" w:sz="4" w:space="0"/>
              <w:bottom w:val="single" w:color="auto"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b/>
                <w:color w:val="000000"/>
                <w:szCs w:val="24"/>
              </w:rPr>
            </w:pPr>
          </w:p>
        </w:tc>
        <w:tc>
          <w:tcPr>
            <w:tcW w:w="4111" w:type="dxa"/>
            <w:tcBorders>
              <w:top w:val="nil"/>
              <w:left w:val="nil"/>
              <w:bottom w:val="single" w:color="auto" w:sz="4" w:space="0"/>
              <w:right w:val="nil"/>
            </w:tcBorders>
            <w:shd w:val="clear" w:color="000000" w:fill="B8CCE4"/>
            <w:noWrap/>
            <w:vAlign w:val="center"/>
          </w:tcPr>
          <w:p>
            <w:pPr>
              <w:adjustRightInd/>
              <w:snapToGrid/>
              <w:spacing w:after="0" w:line="240" w:lineRule="auto"/>
              <w:ind w:firstLine="0" w:firstLineChars="0"/>
              <w:jc w:val="left"/>
              <w:rPr>
                <w:rFonts w:ascii="宋体" w:hAnsi="宋体" w:eastAsia="宋体" w:cs="宋体"/>
                <w:color w:val="000000"/>
                <w:szCs w:val="24"/>
              </w:rPr>
            </w:pPr>
            <w:r>
              <w:rPr>
                <w:rFonts w:hint="eastAsia" w:ascii="宋体" w:hAnsi="宋体" w:eastAsia="宋体" w:cs="宋体"/>
                <w:color w:val="000000"/>
                <w:szCs w:val="24"/>
              </w:rPr>
              <w:t>双变量回归分析</w:t>
            </w:r>
          </w:p>
        </w:tc>
        <w:tc>
          <w:tcPr>
            <w:tcW w:w="992" w:type="dxa"/>
            <w:vMerge w:val="continue"/>
            <w:tcBorders>
              <w:top w:val="nil"/>
              <w:left w:val="single" w:color="auto" w:sz="4" w:space="0"/>
              <w:bottom w:val="single" w:color="000000" w:sz="4" w:space="0"/>
              <w:right w:val="single" w:color="auto" w:sz="4" w:space="0"/>
            </w:tcBorders>
            <w:vAlign w:val="center"/>
          </w:tcPr>
          <w:p>
            <w:pPr>
              <w:adjustRightInd/>
              <w:snapToGrid/>
              <w:spacing w:after="0" w:line="240" w:lineRule="auto"/>
              <w:ind w:firstLine="0" w:firstLineChars="0"/>
              <w:jc w:val="left"/>
              <w:rPr>
                <w:rFonts w:ascii="宋体" w:hAnsi="宋体" w:eastAsia="宋体" w:cs="宋体"/>
                <w:color w:val="000000"/>
                <w:szCs w:val="24"/>
              </w:rPr>
            </w:pPr>
          </w:p>
        </w:tc>
      </w:tr>
    </w:tbl>
    <w:p>
      <w:pPr>
        <w:spacing w:before="120" w:beforeLines="50"/>
        <w:ind w:firstLine="480"/>
      </w:pPr>
      <w:r>
        <w:rPr>
          <w:rFonts w:hint="eastAsia"/>
        </w:rPr>
        <w:t>以上为专科组卷时依据的章节构成，最后一列难度依入卷题分数确定，不代表题目数量。</w:t>
      </w:r>
    </w:p>
    <w:p>
      <w:pPr>
        <w:spacing w:before="120" w:beforeLines="50"/>
        <w:ind w:firstLine="480"/>
      </w:pPr>
    </w:p>
    <w:p>
      <w:pPr>
        <w:spacing w:before="120" w:beforeLines="50"/>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ind w:firstLine="480"/>
      </w:pPr>
      <w:r>
        <w:separator/>
      </w:r>
    </w:p>
  </w:footnote>
  <w:footnote w:type="continuationSeparator" w:id="1">
    <w:p>
      <w:pPr>
        <w:spacing w:before="0" w:after="0"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250"/>
      </w:tabs>
      <w:ind w:firstLine="360"/>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ODI3NWRlZWRkZGNhZDU1NGVjYTM5ZWZlZTVmZGYifQ=="/>
  </w:docVars>
  <w:rsids>
    <w:rsidRoot w:val="00D31D50"/>
    <w:rsid w:val="00090415"/>
    <w:rsid w:val="00101D9D"/>
    <w:rsid w:val="00134A6A"/>
    <w:rsid w:val="00151B5C"/>
    <w:rsid w:val="00234117"/>
    <w:rsid w:val="002422F1"/>
    <w:rsid w:val="00270F3F"/>
    <w:rsid w:val="002D5A6C"/>
    <w:rsid w:val="003065D7"/>
    <w:rsid w:val="00311364"/>
    <w:rsid w:val="00314A43"/>
    <w:rsid w:val="00323B43"/>
    <w:rsid w:val="00360A1F"/>
    <w:rsid w:val="00364131"/>
    <w:rsid w:val="003D37D8"/>
    <w:rsid w:val="00426133"/>
    <w:rsid w:val="004358AB"/>
    <w:rsid w:val="0049529D"/>
    <w:rsid w:val="004A310A"/>
    <w:rsid w:val="004A7354"/>
    <w:rsid w:val="005A36AF"/>
    <w:rsid w:val="0065702E"/>
    <w:rsid w:val="00663A83"/>
    <w:rsid w:val="006B5CD5"/>
    <w:rsid w:val="0073396D"/>
    <w:rsid w:val="007F3CD2"/>
    <w:rsid w:val="00854C94"/>
    <w:rsid w:val="008772A2"/>
    <w:rsid w:val="008B7726"/>
    <w:rsid w:val="009D12F5"/>
    <w:rsid w:val="00A36D5B"/>
    <w:rsid w:val="00A51281"/>
    <w:rsid w:val="00B205A5"/>
    <w:rsid w:val="00BA0389"/>
    <w:rsid w:val="00BB20F7"/>
    <w:rsid w:val="00BD2EC8"/>
    <w:rsid w:val="00D31D50"/>
    <w:rsid w:val="00D56329"/>
    <w:rsid w:val="00DA21D8"/>
    <w:rsid w:val="00DB2745"/>
    <w:rsid w:val="00E75059"/>
    <w:rsid w:val="00E9048C"/>
    <w:rsid w:val="00F75FD6"/>
    <w:rsid w:val="58D80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120" w:line="300" w:lineRule="auto"/>
      <w:ind w:firstLine="200" w:firstLineChars="200"/>
      <w:jc w:val="both"/>
    </w:pPr>
    <w:rPr>
      <w:rFonts w:ascii="Tahoma" w:hAnsi="Tahoma" w:eastAsiaTheme="minorEastAsia" w:cstheme="minorBidi"/>
      <w:sz w:val="24"/>
      <w:szCs w:val="22"/>
      <w:lang w:val="en-US" w:eastAsia="zh-CN" w:bidi="ar-SA"/>
    </w:rPr>
  </w:style>
  <w:style w:type="paragraph" w:styleId="2">
    <w:name w:val="heading 2"/>
    <w:basedOn w:val="1"/>
    <w:next w:val="1"/>
    <w:link w:val="14"/>
    <w:unhideWhenUsed/>
    <w:qFormat/>
    <w:uiPriority w:val="9"/>
    <w:pPr>
      <w:keepNext/>
      <w:keepLines/>
      <w:spacing w:before="120" w:after="0" w:line="360" w:lineRule="auto"/>
      <w:outlineLvl w:val="1"/>
    </w:pPr>
    <w:rPr>
      <w:rFonts w:eastAsia="微软雅黑" w:asciiTheme="majorHAnsi" w:hAnsiTheme="majorHAnsi" w:cstheme="majorBidi"/>
      <w:b/>
      <w:bCs/>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pPr>
      <w:spacing w:after="0" w:line="240" w:lineRule="auto"/>
    </w:pPr>
    <w:rPr>
      <w:sz w:val="18"/>
      <w:szCs w:val="18"/>
    </w:rPr>
  </w:style>
  <w:style w:type="paragraph" w:styleId="4">
    <w:name w:val="footer"/>
    <w:basedOn w:val="1"/>
    <w:link w:val="16"/>
    <w:unhideWhenUsed/>
    <w:qFormat/>
    <w:uiPriority w:val="99"/>
    <w:pPr>
      <w:tabs>
        <w:tab w:val="center" w:pos="4153"/>
        <w:tab w:val="right" w:pos="8306"/>
      </w:tabs>
      <w:spacing w:line="240" w:lineRule="auto"/>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pacing w:line="240" w:lineRule="auto"/>
      <w:jc w:val="center"/>
    </w:pPr>
    <w:rPr>
      <w:sz w:val="18"/>
      <w:szCs w:val="18"/>
    </w:rPr>
  </w:style>
  <w:style w:type="paragraph" w:styleId="6">
    <w:name w:val="Subtitle"/>
    <w:basedOn w:val="1"/>
    <w:next w:val="1"/>
    <w:link w:val="1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7">
    <w:name w:val="Normal (Web)"/>
    <w:basedOn w:val="1"/>
    <w:semiHidden/>
    <w:unhideWhenUsed/>
    <w:uiPriority w:val="99"/>
    <w:pPr>
      <w:adjustRightInd/>
      <w:snapToGrid/>
      <w:spacing w:before="100" w:beforeAutospacing="1" w:after="100" w:afterAutospacing="1" w:line="240" w:lineRule="auto"/>
      <w:ind w:firstLine="0" w:firstLineChars="0"/>
      <w:jc w:val="left"/>
    </w:pPr>
    <w:rPr>
      <w:rFonts w:ascii="宋体" w:hAnsi="宋体" w:eastAsia="宋体" w:cs="宋体"/>
      <w:szCs w:val="24"/>
    </w:rPr>
  </w:style>
  <w:style w:type="paragraph" w:styleId="8">
    <w:name w:val="Title"/>
    <w:next w:val="1"/>
    <w:link w:val="11"/>
    <w:qFormat/>
    <w:uiPriority w:val="10"/>
    <w:pPr>
      <w:spacing w:before="240" w:after="60" w:line="220" w:lineRule="atLeast"/>
      <w:jc w:val="center"/>
      <w:outlineLvl w:val="0"/>
    </w:pPr>
    <w:rPr>
      <w:rFonts w:eastAsia="宋体" w:asciiTheme="majorHAnsi" w:hAnsiTheme="majorHAnsi" w:cstheme="majorBidi"/>
      <w:b/>
      <w:bCs/>
      <w:sz w:val="32"/>
      <w:szCs w:val="32"/>
      <w:lang w:val="en-US" w:eastAsia="zh-CN" w:bidi="ar-SA"/>
    </w:rPr>
  </w:style>
  <w:style w:type="character" w:customStyle="1" w:styleId="11">
    <w:name w:val="标题 Char"/>
    <w:basedOn w:val="10"/>
    <w:link w:val="8"/>
    <w:uiPriority w:val="10"/>
    <w:rPr>
      <w:rFonts w:eastAsia="宋体" w:asciiTheme="majorHAnsi" w:hAnsiTheme="majorHAnsi" w:cstheme="majorBidi"/>
      <w:b/>
      <w:bCs/>
      <w:sz w:val="32"/>
      <w:szCs w:val="32"/>
    </w:rPr>
  </w:style>
  <w:style w:type="character" w:customStyle="1" w:styleId="12">
    <w:name w:val="副标题 Char"/>
    <w:basedOn w:val="10"/>
    <w:link w:val="6"/>
    <w:uiPriority w:val="11"/>
    <w:rPr>
      <w:rFonts w:eastAsia="宋体" w:asciiTheme="majorHAnsi" w:hAnsiTheme="majorHAnsi" w:cstheme="majorBidi"/>
      <w:b/>
      <w:bCs/>
      <w:kern w:val="28"/>
      <w:sz w:val="32"/>
      <w:szCs w:val="32"/>
    </w:rPr>
  </w:style>
  <w:style w:type="paragraph" w:styleId="13">
    <w:name w:val="List Paragraph"/>
    <w:basedOn w:val="1"/>
    <w:qFormat/>
    <w:uiPriority w:val="34"/>
    <w:pPr>
      <w:ind w:firstLine="420"/>
    </w:pPr>
  </w:style>
  <w:style w:type="character" w:customStyle="1" w:styleId="14">
    <w:name w:val="标题 2 Char"/>
    <w:basedOn w:val="10"/>
    <w:link w:val="2"/>
    <w:uiPriority w:val="9"/>
    <w:rPr>
      <w:rFonts w:asciiTheme="majorHAnsi" w:hAnsiTheme="majorHAnsi" w:cstheme="majorBidi"/>
      <w:b/>
      <w:bCs/>
      <w:sz w:val="24"/>
      <w:szCs w:val="32"/>
    </w:rPr>
  </w:style>
  <w:style w:type="character" w:customStyle="1" w:styleId="15">
    <w:name w:val="页眉 Char"/>
    <w:basedOn w:val="10"/>
    <w:link w:val="5"/>
    <w:uiPriority w:val="99"/>
    <w:rPr>
      <w:rFonts w:ascii="Tahoma" w:hAnsi="Tahoma" w:eastAsiaTheme="minorEastAsia"/>
      <w:sz w:val="18"/>
      <w:szCs w:val="18"/>
    </w:rPr>
  </w:style>
  <w:style w:type="character" w:customStyle="1" w:styleId="16">
    <w:name w:val="页脚 Char"/>
    <w:basedOn w:val="10"/>
    <w:link w:val="4"/>
    <w:qFormat/>
    <w:uiPriority w:val="99"/>
    <w:rPr>
      <w:rFonts w:ascii="Tahoma" w:hAnsi="Tahoma" w:eastAsiaTheme="minorEastAsia"/>
      <w:sz w:val="18"/>
      <w:szCs w:val="18"/>
    </w:rPr>
  </w:style>
  <w:style w:type="character" w:customStyle="1" w:styleId="17">
    <w:name w:val="批注框文本 Char"/>
    <w:basedOn w:val="10"/>
    <w:link w:val="3"/>
    <w:semiHidden/>
    <w:qFormat/>
    <w:uiPriority w:val="99"/>
    <w:rPr>
      <w:rFonts w:ascii="Tahoma" w:hAnsi="Tahoma"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098F9-7CFE-4352-BE06-E4DB8D15C2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1840</Words>
  <Characters>1924</Characters>
  <Lines>15</Lines>
  <Paragraphs>4</Paragraphs>
  <TotalTime>28</TotalTime>
  <ScaleCrop>false</ScaleCrop>
  <LinksUpToDate>false</LinksUpToDate>
  <CharactersWithSpaces>1938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2022-10-10T08:49:00Z</dcterms:created>
  <dc:creator>Administrator</dc:creator>
  <cp:lastModifiedBy>ùúûü</cp:lastModifiedBy>
  <cp:lastPrinted>2022-10-14T00:19:00Z</cp:lastPrinted>
  <dcterms:modified xsi:type="dcterms:W3CDTF">2022-10-17T09:25:47Z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73422A31C0974AD389D212C48E34D447</vt:lpwstr>
  </property>
</Properties>
</file>