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665" w:rsidRPr="00721F68" w:rsidRDefault="009D0665" w:rsidP="009D0665">
      <w:pPr>
        <w:pStyle w:val="2"/>
        <w:rPr>
          <w:rFonts w:ascii="Times New Roman"/>
        </w:rPr>
      </w:pPr>
      <w:bookmarkStart w:id="0" w:name="_Toc382170277"/>
      <w:r>
        <w:rPr>
          <w:rFonts w:ascii="Times New Roman" w:hint="eastAsia"/>
        </w:rPr>
        <w:t>【</w:t>
      </w:r>
      <w:r w:rsidRPr="00721F68">
        <w:rPr>
          <w:rFonts w:ascii="Times New Roman" w:hint="eastAsia"/>
        </w:rPr>
        <w:t>文献综述</w:t>
      </w:r>
      <w:bookmarkEnd w:id="0"/>
      <w:r>
        <w:rPr>
          <w:rFonts w:ascii="Times New Roman" w:hint="eastAsia"/>
        </w:rPr>
        <w:t>】</w:t>
      </w:r>
    </w:p>
    <w:p w:rsidR="009D0665" w:rsidRPr="00CD55AF" w:rsidRDefault="009D0665" w:rsidP="009D0665">
      <w:pPr>
        <w:pStyle w:val="a3"/>
        <w:rPr>
          <w:rFonts w:ascii="Times New Roman" w:hAnsi="Times New Roman"/>
          <w:b/>
          <w:sz w:val="28"/>
          <w:szCs w:val="28"/>
        </w:rPr>
      </w:pPr>
      <w:bookmarkStart w:id="1" w:name="_Toc381825652"/>
      <w:bookmarkStart w:id="2" w:name="_Toc382170280"/>
      <w:r w:rsidRPr="00CD55AF">
        <w:rPr>
          <w:rFonts w:ascii="Times New Roman" w:hAnsi="Times New Roman" w:hint="eastAsia"/>
          <w:b/>
          <w:sz w:val="28"/>
          <w:szCs w:val="28"/>
        </w:rPr>
        <w:t>1</w:t>
      </w:r>
      <w:r w:rsidRPr="00CD55AF">
        <w:rPr>
          <w:rFonts w:ascii="Times New Roman" w:hAnsi="Times New Roman"/>
          <w:b/>
          <w:sz w:val="28"/>
          <w:szCs w:val="28"/>
        </w:rPr>
        <w:t>.</w:t>
      </w:r>
      <w:proofErr w:type="gramStart"/>
      <w:r w:rsidRPr="00CD55AF">
        <w:rPr>
          <w:rFonts w:ascii="Times New Roman" w:hAnsi="Times New Roman" w:hint="eastAsia"/>
          <w:b/>
          <w:sz w:val="28"/>
          <w:szCs w:val="28"/>
        </w:rPr>
        <w:t>低保制度</w:t>
      </w:r>
      <w:proofErr w:type="gramEnd"/>
      <w:r w:rsidRPr="00CD55AF">
        <w:rPr>
          <w:rFonts w:ascii="Times New Roman" w:hAnsi="Times New Roman" w:hint="eastAsia"/>
          <w:b/>
          <w:sz w:val="28"/>
          <w:szCs w:val="28"/>
        </w:rPr>
        <w:t>中福利欺诈现象的研究</w:t>
      </w:r>
      <w:bookmarkEnd w:id="1"/>
      <w:bookmarkEnd w:id="2"/>
    </w:p>
    <w:p w:rsidR="009D0665" w:rsidRDefault="009D0665" w:rsidP="009D0665">
      <w:pPr>
        <w:spacing w:line="300" w:lineRule="auto"/>
        <w:ind w:firstLineChars="200" w:firstLine="600"/>
        <w:rPr>
          <w:rFonts w:ascii="宋体" w:hAnsi="宋体"/>
          <w:sz w:val="30"/>
          <w:szCs w:val="30"/>
        </w:rPr>
      </w:pPr>
      <w:r>
        <w:rPr>
          <w:rFonts w:ascii="宋体" w:hAnsi="宋体" w:hint="eastAsia"/>
          <w:sz w:val="30"/>
          <w:szCs w:val="30"/>
        </w:rPr>
        <w:t>目前的收入</w:t>
      </w:r>
      <w:r w:rsidRPr="00213AD9">
        <w:rPr>
          <w:rFonts w:ascii="宋体" w:hAnsi="宋体" w:hint="eastAsia"/>
          <w:sz w:val="30"/>
          <w:szCs w:val="30"/>
        </w:rPr>
        <w:t>核查机制带有很强的人为主观性，很难有效防范骗保</w:t>
      </w:r>
      <w:r w:rsidRPr="00213AD9">
        <w:rPr>
          <w:rFonts w:ascii="宋体" w:hAnsi="宋体"/>
          <w:sz w:val="30"/>
          <w:szCs w:val="30"/>
        </w:rPr>
        <w:t>,</w:t>
      </w:r>
      <w:r>
        <w:rPr>
          <w:rFonts w:ascii="宋体" w:hAnsi="宋体" w:hint="eastAsia"/>
          <w:sz w:val="30"/>
          <w:szCs w:val="30"/>
        </w:rPr>
        <w:t>在这种情况下，骗保人群占据整个低保人群的比例不断扩大</w:t>
      </w:r>
      <w:r w:rsidRPr="00213AD9">
        <w:rPr>
          <w:rFonts w:ascii="宋体" w:hAnsi="宋体" w:hint="eastAsia"/>
          <w:sz w:val="30"/>
          <w:szCs w:val="30"/>
        </w:rPr>
        <w:t>，挤出率</w:t>
      </w:r>
      <w:r>
        <w:rPr>
          <w:rFonts w:ascii="宋体" w:hAnsi="宋体" w:hint="eastAsia"/>
          <w:sz w:val="30"/>
          <w:szCs w:val="30"/>
        </w:rPr>
        <w:t>（UR）</w:t>
      </w:r>
      <w:r w:rsidRPr="009403DD">
        <w:rPr>
          <w:rStyle w:val="a5"/>
          <w:rFonts w:ascii="宋体" w:hAnsi="宋体"/>
          <w:b/>
          <w:sz w:val="30"/>
          <w:szCs w:val="30"/>
        </w:rPr>
        <w:footnoteReference w:id="1"/>
      </w:r>
      <w:r w:rsidRPr="00213AD9">
        <w:rPr>
          <w:rFonts w:ascii="宋体" w:hAnsi="宋体" w:hint="eastAsia"/>
          <w:sz w:val="30"/>
          <w:szCs w:val="30"/>
        </w:rPr>
        <w:t>与漏损率（</w:t>
      </w:r>
      <w:r w:rsidRPr="00213AD9">
        <w:rPr>
          <w:rFonts w:ascii="宋体" w:hAnsi="宋体"/>
          <w:sz w:val="30"/>
          <w:szCs w:val="30"/>
        </w:rPr>
        <w:t>LR</w:t>
      </w:r>
      <w:r w:rsidRPr="00213AD9">
        <w:rPr>
          <w:rFonts w:ascii="宋体" w:hAnsi="宋体" w:hint="eastAsia"/>
          <w:sz w:val="30"/>
          <w:szCs w:val="30"/>
        </w:rPr>
        <w:t>）</w:t>
      </w:r>
      <w:r w:rsidRPr="009403DD">
        <w:rPr>
          <w:rStyle w:val="a5"/>
          <w:rFonts w:ascii="宋体" w:hAnsi="宋体"/>
          <w:b/>
          <w:sz w:val="30"/>
          <w:szCs w:val="30"/>
        </w:rPr>
        <w:footnoteReference w:id="2"/>
      </w:r>
      <w:r>
        <w:rPr>
          <w:rFonts w:ascii="宋体" w:hAnsi="宋体" w:hint="eastAsia"/>
          <w:sz w:val="30"/>
          <w:szCs w:val="30"/>
        </w:rPr>
        <w:t>也随之加大。有学者（</w:t>
      </w:r>
      <w:r w:rsidRPr="00213AD9">
        <w:rPr>
          <w:rFonts w:ascii="宋体" w:hAnsi="宋体" w:hint="eastAsia"/>
          <w:sz w:val="30"/>
          <w:szCs w:val="30"/>
        </w:rPr>
        <w:t>汪廷美</w:t>
      </w:r>
      <w:r>
        <w:rPr>
          <w:rFonts w:ascii="宋体" w:hAnsi="宋体" w:hint="eastAsia"/>
          <w:sz w:val="30"/>
          <w:szCs w:val="30"/>
        </w:rPr>
        <w:t>,2013</w:t>
      </w:r>
      <w:r w:rsidRPr="00213AD9">
        <w:rPr>
          <w:rFonts w:ascii="宋体" w:hAnsi="宋体" w:hint="eastAsia"/>
          <w:sz w:val="30"/>
          <w:szCs w:val="30"/>
        </w:rPr>
        <w:t>）</w:t>
      </w:r>
      <w:r w:rsidRPr="009403DD">
        <w:rPr>
          <w:rStyle w:val="a5"/>
          <w:rFonts w:ascii="宋体" w:hAnsi="宋体"/>
          <w:b/>
          <w:sz w:val="30"/>
          <w:szCs w:val="30"/>
        </w:rPr>
        <w:footnoteReference w:id="3"/>
      </w:r>
      <w:r>
        <w:rPr>
          <w:rFonts w:ascii="宋体" w:hAnsi="宋体" w:hint="eastAsia"/>
          <w:sz w:val="30"/>
          <w:szCs w:val="30"/>
        </w:rPr>
        <w:t>认为挤出率</w:t>
      </w:r>
      <w:r w:rsidRPr="00213AD9">
        <w:rPr>
          <w:rFonts w:ascii="宋体" w:hAnsi="宋体" w:hint="eastAsia"/>
          <w:sz w:val="30"/>
          <w:szCs w:val="30"/>
        </w:rPr>
        <w:t>与漏损率</w:t>
      </w:r>
      <w:r>
        <w:rPr>
          <w:rFonts w:ascii="宋体" w:hAnsi="宋体" w:hint="eastAsia"/>
          <w:sz w:val="30"/>
          <w:szCs w:val="30"/>
        </w:rPr>
        <w:t>越大，整个体制的瞄准率越低，从而影响最低生活保障体制发挥最大效益。对此，大量学者都得到共识（</w:t>
      </w:r>
      <w:r w:rsidRPr="00213AD9">
        <w:rPr>
          <w:rFonts w:ascii="宋体" w:hAnsi="宋体" w:hint="eastAsia"/>
          <w:sz w:val="30"/>
          <w:szCs w:val="30"/>
        </w:rPr>
        <w:t>伍林生、梁东荣，</w:t>
      </w:r>
      <w:r w:rsidRPr="00213AD9">
        <w:rPr>
          <w:rFonts w:ascii="宋体" w:hAnsi="宋体"/>
          <w:sz w:val="30"/>
          <w:szCs w:val="30"/>
        </w:rPr>
        <w:t>2006</w:t>
      </w:r>
      <w:r w:rsidRPr="00213AD9">
        <w:rPr>
          <w:rFonts w:ascii="宋体" w:hAnsi="宋体" w:hint="eastAsia"/>
          <w:sz w:val="30"/>
          <w:szCs w:val="30"/>
        </w:rPr>
        <w:t>年</w:t>
      </w:r>
      <w:r w:rsidRPr="00213AD9">
        <w:rPr>
          <w:rFonts w:ascii="宋体" w:hAnsi="宋体"/>
          <w:sz w:val="30"/>
          <w:szCs w:val="30"/>
        </w:rPr>
        <w:t>6</w:t>
      </w:r>
      <w:r w:rsidRPr="00213AD9">
        <w:rPr>
          <w:rFonts w:ascii="宋体" w:hAnsi="宋体" w:hint="eastAsia"/>
          <w:sz w:val="30"/>
          <w:szCs w:val="30"/>
        </w:rPr>
        <w:t>月；</w:t>
      </w:r>
      <w:r w:rsidRPr="007812D4">
        <w:rPr>
          <w:rFonts w:ascii="宋体" w:hAnsi="宋体" w:hint="eastAsia"/>
          <w:sz w:val="30"/>
          <w:szCs w:val="30"/>
        </w:rPr>
        <w:t>吴永健，</w:t>
      </w:r>
      <w:r w:rsidRPr="007812D4">
        <w:rPr>
          <w:rFonts w:ascii="宋体" w:hAnsi="宋体"/>
          <w:sz w:val="30"/>
          <w:szCs w:val="30"/>
        </w:rPr>
        <w:t>2008</w:t>
      </w:r>
      <w:r w:rsidRPr="007812D4">
        <w:rPr>
          <w:rFonts w:ascii="宋体" w:hAnsi="宋体" w:hint="eastAsia"/>
          <w:sz w:val="30"/>
          <w:szCs w:val="30"/>
        </w:rPr>
        <w:t>年</w:t>
      </w:r>
      <w:r w:rsidRPr="007812D4">
        <w:rPr>
          <w:rFonts w:ascii="宋体" w:hAnsi="宋体"/>
          <w:sz w:val="30"/>
          <w:szCs w:val="30"/>
        </w:rPr>
        <w:t>4</w:t>
      </w:r>
      <w:r w:rsidRPr="007812D4">
        <w:rPr>
          <w:rFonts w:ascii="宋体" w:hAnsi="宋体" w:hint="eastAsia"/>
          <w:sz w:val="30"/>
          <w:szCs w:val="30"/>
        </w:rPr>
        <w:t>月；彭宅文</w:t>
      </w:r>
      <w:r>
        <w:rPr>
          <w:rFonts w:ascii="宋体" w:hAnsi="宋体" w:hint="eastAsia"/>
          <w:sz w:val="30"/>
          <w:szCs w:val="30"/>
        </w:rPr>
        <w:t>，</w:t>
      </w:r>
      <w:r w:rsidRPr="007812D4">
        <w:rPr>
          <w:rFonts w:ascii="宋体" w:hAnsi="宋体"/>
          <w:sz w:val="30"/>
          <w:szCs w:val="30"/>
        </w:rPr>
        <w:t>2009</w:t>
      </w:r>
      <w:r w:rsidRPr="007812D4">
        <w:rPr>
          <w:rFonts w:ascii="宋体" w:hAnsi="宋体" w:hint="eastAsia"/>
          <w:sz w:val="30"/>
          <w:szCs w:val="30"/>
        </w:rPr>
        <w:t>年</w:t>
      </w:r>
      <w:r w:rsidRPr="007812D4">
        <w:rPr>
          <w:rFonts w:ascii="宋体" w:hAnsi="宋体"/>
          <w:sz w:val="30"/>
          <w:szCs w:val="30"/>
        </w:rPr>
        <w:t xml:space="preserve"> 5</w:t>
      </w:r>
      <w:r w:rsidRPr="007812D4">
        <w:rPr>
          <w:rFonts w:ascii="宋体" w:hAnsi="宋体" w:hint="eastAsia"/>
          <w:sz w:val="30"/>
          <w:szCs w:val="30"/>
        </w:rPr>
        <w:t>月）</w:t>
      </w:r>
      <w:r w:rsidRPr="009403DD">
        <w:rPr>
          <w:rStyle w:val="a5"/>
          <w:rFonts w:ascii="宋体" w:hAnsi="宋体"/>
          <w:b/>
          <w:sz w:val="30"/>
          <w:szCs w:val="30"/>
        </w:rPr>
        <w:footnoteReference w:id="4"/>
      </w:r>
      <w:r w:rsidRPr="009403DD">
        <w:rPr>
          <w:rFonts w:ascii="宋体" w:hAnsi="宋体" w:hint="eastAsia"/>
          <w:b/>
          <w:sz w:val="30"/>
          <w:szCs w:val="30"/>
          <w:vertAlign w:val="superscript"/>
        </w:rPr>
        <w:t>、</w:t>
      </w:r>
      <w:r w:rsidRPr="009403DD">
        <w:rPr>
          <w:rStyle w:val="a5"/>
          <w:rFonts w:ascii="宋体" w:hAnsi="宋体"/>
          <w:b/>
          <w:sz w:val="30"/>
          <w:szCs w:val="30"/>
        </w:rPr>
        <w:footnoteReference w:id="5"/>
      </w:r>
      <w:r w:rsidRPr="009403DD">
        <w:rPr>
          <w:rFonts w:ascii="宋体" w:hAnsi="宋体" w:hint="eastAsia"/>
          <w:b/>
          <w:sz w:val="30"/>
          <w:szCs w:val="30"/>
          <w:vertAlign w:val="superscript"/>
        </w:rPr>
        <w:t>、</w:t>
      </w:r>
      <w:r>
        <w:rPr>
          <w:rStyle w:val="a5"/>
          <w:rFonts w:ascii="宋体" w:hAnsi="宋体"/>
          <w:b/>
          <w:sz w:val="30"/>
          <w:szCs w:val="30"/>
        </w:rPr>
        <w:footnoteReference w:id="6"/>
      </w:r>
      <w:r>
        <w:rPr>
          <w:rFonts w:ascii="宋体" w:hAnsi="宋体" w:hint="eastAsia"/>
          <w:sz w:val="30"/>
          <w:szCs w:val="30"/>
        </w:rPr>
        <w:t>。</w:t>
      </w:r>
    </w:p>
    <w:p w:rsidR="009D0665" w:rsidRPr="00213AD9" w:rsidRDefault="009D0665" w:rsidP="009D0665">
      <w:pPr>
        <w:spacing w:line="300" w:lineRule="auto"/>
        <w:ind w:firstLineChars="200" w:firstLine="600"/>
        <w:rPr>
          <w:rFonts w:ascii="宋体" w:hAnsi="宋体"/>
          <w:sz w:val="30"/>
          <w:szCs w:val="30"/>
        </w:rPr>
      </w:pPr>
      <w:r w:rsidRPr="00213AD9">
        <w:rPr>
          <w:rFonts w:ascii="宋体" w:hAnsi="宋体" w:hint="eastAsia"/>
          <w:sz w:val="30"/>
          <w:szCs w:val="30"/>
        </w:rPr>
        <w:t>这个弊端的产生是因为存在大量有意骗保的人</w:t>
      </w:r>
      <w:r w:rsidRPr="00213AD9">
        <w:rPr>
          <w:rFonts w:ascii="宋体" w:hAnsi="宋体"/>
          <w:sz w:val="30"/>
          <w:szCs w:val="30"/>
        </w:rPr>
        <w:t>,</w:t>
      </w:r>
      <w:r>
        <w:rPr>
          <w:rFonts w:ascii="宋体" w:hAnsi="宋体" w:hint="eastAsia"/>
          <w:sz w:val="30"/>
          <w:szCs w:val="30"/>
        </w:rPr>
        <w:t>最有效的防范办法就是加大收入</w:t>
      </w:r>
      <w:r w:rsidRPr="00213AD9">
        <w:rPr>
          <w:rFonts w:ascii="宋体" w:hAnsi="宋体" w:hint="eastAsia"/>
          <w:sz w:val="30"/>
          <w:szCs w:val="30"/>
        </w:rPr>
        <w:t>核查的力度，改善收入核查体系，剔除人为主观性对收入判定的影响。</w:t>
      </w:r>
    </w:p>
    <w:p w:rsidR="009D0665" w:rsidRPr="00CD55AF" w:rsidRDefault="009D0665" w:rsidP="009D0665">
      <w:pPr>
        <w:pStyle w:val="a3"/>
        <w:rPr>
          <w:rFonts w:ascii="Times New Roman" w:hAnsi="Times New Roman"/>
          <w:b/>
          <w:sz w:val="28"/>
          <w:szCs w:val="28"/>
        </w:rPr>
      </w:pPr>
      <w:bookmarkStart w:id="3" w:name="_Toc381825653"/>
      <w:bookmarkStart w:id="4" w:name="_Toc382170281"/>
      <w:r w:rsidRPr="00CD55AF">
        <w:rPr>
          <w:rFonts w:ascii="Times New Roman" w:hAnsi="Times New Roman" w:hint="eastAsia"/>
          <w:b/>
          <w:sz w:val="28"/>
          <w:szCs w:val="28"/>
        </w:rPr>
        <w:t>2</w:t>
      </w:r>
      <w:r w:rsidRPr="00CD55AF">
        <w:rPr>
          <w:rFonts w:ascii="Times New Roman" w:hAnsi="Times New Roman"/>
          <w:b/>
          <w:sz w:val="28"/>
          <w:szCs w:val="28"/>
        </w:rPr>
        <w:t>.</w:t>
      </w:r>
      <w:proofErr w:type="gramStart"/>
      <w:r w:rsidRPr="00CD55AF">
        <w:rPr>
          <w:rFonts w:ascii="Times New Roman" w:hAnsi="Times New Roman" w:hint="eastAsia"/>
          <w:b/>
          <w:sz w:val="28"/>
          <w:szCs w:val="28"/>
        </w:rPr>
        <w:t>低保标准</w:t>
      </w:r>
      <w:proofErr w:type="gramEnd"/>
      <w:r w:rsidRPr="00CD55AF">
        <w:rPr>
          <w:rFonts w:ascii="Times New Roman" w:hAnsi="Times New Roman" w:hint="eastAsia"/>
          <w:b/>
          <w:sz w:val="28"/>
          <w:szCs w:val="28"/>
        </w:rPr>
        <w:t>的确定与测算问题研究</w:t>
      </w:r>
      <w:bookmarkEnd w:id="3"/>
      <w:bookmarkEnd w:id="4"/>
    </w:p>
    <w:p w:rsidR="009D0665" w:rsidRDefault="009D0665" w:rsidP="009D0665">
      <w:pPr>
        <w:spacing w:line="300" w:lineRule="auto"/>
        <w:ind w:firstLineChars="200" w:firstLine="600"/>
        <w:rPr>
          <w:rFonts w:ascii="宋体" w:hAnsi="宋体" w:hint="eastAsia"/>
          <w:sz w:val="30"/>
          <w:szCs w:val="30"/>
        </w:rPr>
      </w:pPr>
      <w:proofErr w:type="gramStart"/>
      <w:r w:rsidRPr="001E6CEC">
        <w:rPr>
          <w:rFonts w:ascii="宋体" w:hAnsi="宋体" w:hint="eastAsia"/>
          <w:sz w:val="30"/>
          <w:szCs w:val="30"/>
        </w:rPr>
        <w:t>低保制度</w:t>
      </w:r>
      <w:proofErr w:type="gramEnd"/>
      <w:r w:rsidRPr="001E6CEC">
        <w:rPr>
          <w:rFonts w:ascii="宋体" w:hAnsi="宋体" w:hint="eastAsia"/>
          <w:sz w:val="30"/>
          <w:szCs w:val="30"/>
        </w:rPr>
        <w:t>的基本功能即保障居民的生存权与发展权，兼顾维</w:t>
      </w:r>
      <w:r w:rsidRPr="001E6CEC">
        <w:rPr>
          <w:rFonts w:ascii="宋体" w:hAnsi="宋体" w:hint="eastAsia"/>
          <w:sz w:val="30"/>
          <w:szCs w:val="30"/>
        </w:rPr>
        <w:lastRenderedPageBreak/>
        <w:t>护社会稳定与调节收入差距的扩展功能。而</w:t>
      </w:r>
      <w:proofErr w:type="gramStart"/>
      <w:r w:rsidRPr="001E6CEC">
        <w:rPr>
          <w:rFonts w:ascii="宋体" w:hAnsi="宋体" w:hint="eastAsia"/>
          <w:sz w:val="30"/>
          <w:szCs w:val="30"/>
        </w:rPr>
        <w:t>低保标准</w:t>
      </w:r>
      <w:proofErr w:type="gramEnd"/>
      <w:r w:rsidRPr="001E6CEC">
        <w:rPr>
          <w:rFonts w:ascii="宋体" w:hAnsi="宋体" w:hint="eastAsia"/>
          <w:sz w:val="30"/>
          <w:szCs w:val="30"/>
        </w:rPr>
        <w:t>的高低决定</w:t>
      </w:r>
      <w:proofErr w:type="gramStart"/>
      <w:r w:rsidRPr="001E6CEC">
        <w:rPr>
          <w:rFonts w:ascii="宋体" w:hAnsi="宋体" w:hint="eastAsia"/>
          <w:sz w:val="30"/>
          <w:szCs w:val="30"/>
        </w:rPr>
        <w:t>了低保制度</w:t>
      </w:r>
      <w:proofErr w:type="gramEnd"/>
      <w:r w:rsidRPr="001E6CEC">
        <w:rPr>
          <w:rFonts w:ascii="宋体" w:hAnsi="宋体" w:hint="eastAsia"/>
          <w:sz w:val="30"/>
          <w:szCs w:val="30"/>
        </w:rPr>
        <w:t>保障范围的大小</w:t>
      </w:r>
      <w:proofErr w:type="gramStart"/>
      <w:r w:rsidRPr="001E6CEC">
        <w:rPr>
          <w:rFonts w:ascii="宋体" w:hAnsi="宋体" w:hint="eastAsia"/>
          <w:sz w:val="30"/>
          <w:szCs w:val="30"/>
        </w:rPr>
        <w:t>和低保制度</w:t>
      </w:r>
      <w:proofErr w:type="gramEnd"/>
      <w:r w:rsidRPr="001E6CEC">
        <w:rPr>
          <w:rFonts w:ascii="宋体" w:hAnsi="宋体" w:hint="eastAsia"/>
          <w:sz w:val="30"/>
          <w:szCs w:val="30"/>
        </w:rPr>
        <w:t>实施的效果。关于</w:t>
      </w:r>
      <w:proofErr w:type="gramStart"/>
      <w:r w:rsidRPr="001E6CEC">
        <w:rPr>
          <w:rFonts w:ascii="宋体" w:hAnsi="宋体" w:hint="eastAsia"/>
          <w:sz w:val="30"/>
          <w:szCs w:val="30"/>
        </w:rPr>
        <w:t>低保标准</w:t>
      </w:r>
      <w:proofErr w:type="gramEnd"/>
      <w:r w:rsidRPr="001E6CEC">
        <w:rPr>
          <w:rFonts w:ascii="宋体" w:hAnsi="宋体" w:hint="eastAsia"/>
          <w:sz w:val="30"/>
          <w:szCs w:val="30"/>
        </w:rPr>
        <w:t>线的划定，各地做法不规范且不科学，使得各地</w:t>
      </w:r>
      <w:proofErr w:type="gramStart"/>
      <w:r w:rsidRPr="001E6CEC">
        <w:rPr>
          <w:rFonts w:ascii="宋体" w:hAnsi="宋体" w:hint="eastAsia"/>
          <w:sz w:val="30"/>
          <w:szCs w:val="30"/>
        </w:rPr>
        <w:t>低保标准</w:t>
      </w:r>
      <w:proofErr w:type="gramEnd"/>
      <w:r w:rsidRPr="001E6CEC">
        <w:rPr>
          <w:rFonts w:ascii="宋体" w:hAnsi="宋体" w:hint="eastAsia"/>
          <w:sz w:val="30"/>
          <w:szCs w:val="30"/>
        </w:rPr>
        <w:t>线的测定方法也不尽相同，地区差异较大。</w:t>
      </w:r>
    </w:p>
    <w:p w:rsidR="009D0665" w:rsidRDefault="009D0665" w:rsidP="009D0665">
      <w:pPr>
        <w:spacing w:line="300" w:lineRule="auto"/>
        <w:ind w:firstLineChars="200" w:firstLine="600"/>
        <w:rPr>
          <w:rFonts w:ascii="宋体" w:hAnsi="宋体" w:hint="eastAsia"/>
          <w:sz w:val="30"/>
          <w:szCs w:val="30"/>
        </w:rPr>
      </w:pPr>
      <w:proofErr w:type="gramStart"/>
      <w:r>
        <w:rPr>
          <w:rFonts w:ascii="宋体" w:hAnsi="宋体" w:hint="eastAsia"/>
          <w:sz w:val="30"/>
          <w:szCs w:val="30"/>
        </w:rPr>
        <w:t>曹野</w:t>
      </w:r>
      <w:proofErr w:type="gramEnd"/>
      <w:r>
        <w:rPr>
          <w:rFonts w:ascii="宋体" w:hAnsi="宋体" w:hint="eastAsia"/>
          <w:sz w:val="30"/>
          <w:szCs w:val="30"/>
        </w:rPr>
        <w:t>(</w:t>
      </w:r>
      <w:r w:rsidRPr="001E6CEC">
        <w:rPr>
          <w:rFonts w:ascii="宋体" w:hAnsi="宋体"/>
          <w:sz w:val="30"/>
          <w:szCs w:val="30"/>
        </w:rPr>
        <w:t>2012</w:t>
      </w:r>
      <w:r w:rsidRPr="001E6CEC">
        <w:rPr>
          <w:rFonts w:ascii="宋体" w:hAnsi="宋体" w:hint="eastAsia"/>
          <w:sz w:val="30"/>
          <w:szCs w:val="30"/>
        </w:rPr>
        <w:t>）</w:t>
      </w:r>
      <w:r>
        <w:rPr>
          <w:rFonts w:ascii="宋体" w:hAnsi="宋体"/>
          <w:b/>
          <w:sz w:val="30"/>
          <w:szCs w:val="30"/>
          <w:vertAlign w:val="superscript"/>
        </w:rPr>
        <w:t xml:space="preserve"> </w:t>
      </w:r>
      <w:r>
        <w:rPr>
          <w:rStyle w:val="a5"/>
          <w:rFonts w:ascii="宋体" w:hAnsi="宋体"/>
          <w:b/>
          <w:sz w:val="30"/>
          <w:szCs w:val="30"/>
        </w:rPr>
        <w:footnoteReference w:id="7"/>
      </w:r>
      <w:r>
        <w:rPr>
          <w:rFonts w:ascii="宋体" w:hAnsi="宋体" w:hint="eastAsia"/>
          <w:sz w:val="30"/>
          <w:szCs w:val="30"/>
        </w:rPr>
        <w:t>对</w:t>
      </w:r>
      <w:r w:rsidRPr="001E6CEC">
        <w:rPr>
          <w:rFonts w:ascii="宋体" w:hAnsi="宋体" w:hint="eastAsia"/>
          <w:sz w:val="30"/>
          <w:szCs w:val="30"/>
        </w:rPr>
        <w:t>辽宁省城市低保存在问题进行了分析</w:t>
      </w:r>
      <w:r>
        <w:rPr>
          <w:rFonts w:ascii="宋体" w:hAnsi="宋体" w:hint="eastAsia"/>
          <w:sz w:val="30"/>
          <w:szCs w:val="30"/>
        </w:rPr>
        <w:t>，得出了</w:t>
      </w:r>
      <w:r w:rsidRPr="001E6CEC">
        <w:rPr>
          <w:rFonts w:ascii="宋体" w:hAnsi="宋体" w:hint="eastAsia"/>
          <w:sz w:val="30"/>
          <w:szCs w:val="30"/>
        </w:rPr>
        <w:t>辽宁省</w:t>
      </w:r>
      <w:proofErr w:type="gramStart"/>
      <w:r>
        <w:rPr>
          <w:rFonts w:ascii="宋体" w:hAnsi="宋体" w:hint="eastAsia"/>
          <w:sz w:val="30"/>
          <w:szCs w:val="30"/>
        </w:rPr>
        <w:t>现行城市低</w:t>
      </w:r>
      <w:r w:rsidRPr="001E6CEC">
        <w:rPr>
          <w:rFonts w:ascii="宋体" w:hAnsi="宋体" w:hint="eastAsia"/>
          <w:sz w:val="30"/>
          <w:szCs w:val="30"/>
        </w:rPr>
        <w:t>保</w:t>
      </w:r>
      <w:proofErr w:type="gramEnd"/>
      <w:r w:rsidRPr="001E6CEC">
        <w:rPr>
          <w:rFonts w:ascii="宋体" w:hAnsi="宋体" w:hint="eastAsia"/>
          <w:sz w:val="30"/>
          <w:szCs w:val="30"/>
        </w:rPr>
        <w:t>给付水平偏低，城市间发展不平衡，跟不上</w:t>
      </w:r>
      <w:r w:rsidRPr="001E6CEC">
        <w:rPr>
          <w:rFonts w:ascii="宋体" w:hAnsi="宋体"/>
          <w:sz w:val="30"/>
          <w:szCs w:val="30"/>
        </w:rPr>
        <w:t xml:space="preserve"> CPI </w:t>
      </w:r>
      <w:r w:rsidRPr="001E6CEC">
        <w:rPr>
          <w:rFonts w:ascii="宋体" w:hAnsi="宋体" w:hint="eastAsia"/>
          <w:sz w:val="30"/>
          <w:szCs w:val="30"/>
        </w:rPr>
        <w:t>上涨速度，调整机制不够健全</w:t>
      </w:r>
      <w:r>
        <w:rPr>
          <w:rFonts w:ascii="宋体" w:hAnsi="宋体" w:hint="eastAsia"/>
          <w:sz w:val="30"/>
          <w:szCs w:val="30"/>
        </w:rPr>
        <w:t>的结论</w:t>
      </w:r>
      <w:r w:rsidRPr="001E6CEC">
        <w:rPr>
          <w:rFonts w:ascii="宋体" w:hAnsi="宋体" w:hint="eastAsia"/>
          <w:sz w:val="30"/>
          <w:szCs w:val="30"/>
        </w:rPr>
        <w:t>。</w:t>
      </w:r>
      <w:r>
        <w:rPr>
          <w:rFonts w:ascii="宋体" w:hAnsi="宋体" w:hint="eastAsia"/>
          <w:sz w:val="30"/>
          <w:szCs w:val="30"/>
        </w:rPr>
        <w:t>张时飞、唐钧（</w:t>
      </w:r>
      <w:r w:rsidRPr="001E6CEC">
        <w:rPr>
          <w:rFonts w:ascii="宋体" w:hAnsi="宋体"/>
          <w:sz w:val="30"/>
          <w:szCs w:val="30"/>
        </w:rPr>
        <w:t>2007</w:t>
      </w:r>
      <w:r w:rsidRPr="001E6CEC">
        <w:rPr>
          <w:rFonts w:ascii="宋体" w:hAnsi="宋体" w:hint="eastAsia"/>
          <w:sz w:val="30"/>
          <w:szCs w:val="30"/>
        </w:rPr>
        <w:t>）</w:t>
      </w:r>
      <w:r>
        <w:rPr>
          <w:rFonts w:ascii="宋体" w:hAnsi="宋体"/>
          <w:b/>
          <w:sz w:val="30"/>
          <w:szCs w:val="30"/>
          <w:vertAlign w:val="superscript"/>
        </w:rPr>
        <w:t xml:space="preserve"> </w:t>
      </w:r>
      <w:r>
        <w:rPr>
          <w:rStyle w:val="a5"/>
          <w:rFonts w:ascii="宋体" w:hAnsi="宋体"/>
          <w:b/>
          <w:sz w:val="30"/>
          <w:szCs w:val="30"/>
        </w:rPr>
        <w:footnoteReference w:id="8"/>
      </w:r>
      <w:r>
        <w:rPr>
          <w:rFonts w:ascii="宋体" w:hAnsi="宋体" w:hint="eastAsia"/>
          <w:sz w:val="30"/>
          <w:szCs w:val="30"/>
        </w:rPr>
        <w:t>通过选择辽宁、河北两省进行实地调查得出</w:t>
      </w:r>
      <w:r w:rsidRPr="001E6CEC">
        <w:rPr>
          <w:rFonts w:ascii="宋体" w:hAnsi="宋体" w:hint="eastAsia"/>
          <w:sz w:val="30"/>
          <w:szCs w:val="30"/>
        </w:rPr>
        <w:t>城乡</w:t>
      </w:r>
      <w:proofErr w:type="gramStart"/>
      <w:r>
        <w:rPr>
          <w:rFonts w:ascii="宋体" w:hAnsi="宋体" w:hint="eastAsia"/>
          <w:sz w:val="30"/>
          <w:szCs w:val="30"/>
        </w:rPr>
        <w:t>低保标准</w:t>
      </w:r>
      <w:proofErr w:type="gramEnd"/>
      <w:r w:rsidRPr="001E6CEC">
        <w:rPr>
          <w:rFonts w:ascii="宋体" w:hAnsi="宋体" w:hint="eastAsia"/>
          <w:sz w:val="30"/>
          <w:szCs w:val="30"/>
        </w:rPr>
        <w:t>差距过大，城市最低生活保障体系存在问题</w:t>
      </w:r>
      <w:r>
        <w:rPr>
          <w:rFonts w:ascii="宋体" w:hAnsi="宋体" w:hint="eastAsia"/>
          <w:sz w:val="30"/>
          <w:szCs w:val="30"/>
        </w:rPr>
        <w:t>的结论</w:t>
      </w:r>
      <w:r w:rsidRPr="001E6CEC">
        <w:rPr>
          <w:rFonts w:ascii="宋体" w:hAnsi="宋体" w:hint="eastAsia"/>
          <w:sz w:val="30"/>
          <w:szCs w:val="30"/>
        </w:rPr>
        <w:t>。</w:t>
      </w:r>
    </w:p>
    <w:p w:rsidR="009D0665" w:rsidRPr="001E6CEC" w:rsidRDefault="009D0665" w:rsidP="009D0665">
      <w:pPr>
        <w:spacing w:line="300" w:lineRule="auto"/>
        <w:ind w:firstLineChars="200" w:firstLine="600"/>
        <w:rPr>
          <w:rFonts w:ascii="宋体" w:hAnsi="宋体"/>
          <w:sz w:val="30"/>
          <w:szCs w:val="30"/>
        </w:rPr>
      </w:pPr>
      <w:r w:rsidRPr="001E6CEC">
        <w:rPr>
          <w:rFonts w:ascii="宋体" w:hAnsi="宋体" w:hint="eastAsia"/>
          <w:sz w:val="30"/>
          <w:szCs w:val="30"/>
        </w:rPr>
        <w:t>针对</w:t>
      </w:r>
      <w:proofErr w:type="gramStart"/>
      <w:r w:rsidRPr="001E6CEC">
        <w:rPr>
          <w:rFonts w:ascii="宋体" w:hAnsi="宋体" w:hint="eastAsia"/>
          <w:sz w:val="30"/>
          <w:szCs w:val="30"/>
        </w:rPr>
        <w:t>低保标准</w:t>
      </w:r>
      <w:proofErr w:type="gramEnd"/>
      <w:r w:rsidRPr="001E6CEC">
        <w:rPr>
          <w:rFonts w:ascii="宋体" w:hAnsi="宋体" w:hint="eastAsia"/>
          <w:sz w:val="30"/>
          <w:szCs w:val="30"/>
        </w:rPr>
        <w:t>线的划定的不科学方面，学者们提出了不同的</w:t>
      </w:r>
      <w:proofErr w:type="gramStart"/>
      <w:r w:rsidRPr="001E6CEC">
        <w:rPr>
          <w:rFonts w:ascii="宋体" w:hAnsi="宋体" w:hint="eastAsia"/>
          <w:sz w:val="30"/>
          <w:szCs w:val="30"/>
        </w:rPr>
        <w:t>低保标准</w:t>
      </w:r>
      <w:proofErr w:type="gramEnd"/>
      <w:r w:rsidRPr="001E6CEC">
        <w:rPr>
          <w:rFonts w:ascii="宋体" w:hAnsi="宋体" w:hint="eastAsia"/>
          <w:sz w:val="30"/>
          <w:szCs w:val="30"/>
        </w:rPr>
        <w:t>的测定方法，</w:t>
      </w:r>
      <w:r>
        <w:rPr>
          <w:rFonts w:ascii="宋体" w:hAnsi="宋体" w:hint="eastAsia"/>
          <w:sz w:val="30"/>
          <w:szCs w:val="30"/>
        </w:rPr>
        <w:t>包括：</w:t>
      </w:r>
      <w:r w:rsidRPr="001E6CEC">
        <w:rPr>
          <w:rFonts w:ascii="宋体" w:hAnsi="宋体" w:hint="eastAsia"/>
          <w:sz w:val="30"/>
          <w:szCs w:val="30"/>
        </w:rPr>
        <w:t>扩展线性支出法</w:t>
      </w:r>
      <w:r>
        <w:rPr>
          <w:rFonts w:ascii="宋体" w:hAnsi="宋体" w:hint="eastAsia"/>
          <w:sz w:val="30"/>
          <w:szCs w:val="30"/>
        </w:rPr>
        <w:t>（印凡成、刘丽莹、</w:t>
      </w:r>
      <w:r w:rsidRPr="001E6CEC">
        <w:rPr>
          <w:rFonts w:ascii="宋体" w:hAnsi="宋体" w:hint="eastAsia"/>
          <w:sz w:val="30"/>
          <w:szCs w:val="30"/>
        </w:rPr>
        <w:t>黄健元</w:t>
      </w:r>
      <w:r>
        <w:rPr>
          <w:rFonts w:ascii="宋体" w:hAnsi="宋体" w:hint="eastAsia"/>
          <w:sz w:val="30"/>
          <w:szCs w:val="30"/>
        </w:rPr>
        <w:t>，</w:t>
      </w:r>
      <w:r w:rsidRPr="001E6CEC">
        <w:rPr>
          <w:rFonts w:ascii="宋体" w:hAnsi="宋体"/>
          <w:sz w:val="30"/>
          <w:szCs w:val="30"/>
        </w:rPr>
        <w:t>2011</w:t>
      </w:r>
      <w:r>
        <w:rPr>
          <w:rFonts w:ascii="宋体" w:hAnsi="宋体" w:hint="eastAsia"/>
          <w:sz w:val="30"/>
          <w:szCs w:val="30"/>
        </w:rPr>
        <w:t>；秦建</w:t>
      </w:r>
      <w:r w:rsidRPr="001E6CEC">
        <w:rPr>
          <w:rFonts w:ascii="宋体" w:hAnsi="宋体" w:hint="eastAsia"/>
          <w:sz w:val="30"/>
          <w:szCs w:val="30"/>
        </w:rPr>
        <w:t>龙</w:t>
      </w:r>
      <w:r>
        <w:rPr>
          <w:rFonts w:ascii="宋体" w:hAnsi="宋体" w:hint="eastAsia"/>
          <w:sz w:val="30"/>
          <w:szCs w:val="30"/>
        </w:rPr>
        <w:t>，2012）</w:t>
      </w:r>
      <w:r w:rsidRPr="00B45612">
        <w:rPr>
          <w:rFonts w:ascii="宋体" w:hAnsi="宋体"/>
          <w:b/>
          <w:sz w:val="30"/>
          <w:szCs w:val="30"/>
          <w:vertAlign w:val="superscript"/>
        </w:rPr>
        <w:t xml:space="preserve"> </w:t>
      </w:r>
      <w:r>
        <w:rPr>
          <w:rStyle w:val="a5"/>
          <w:rFonts w:ascii="宋体" w:hAnsi="宋体"/>
          <w:b/>
          <w:sz w:val="30"/>
          <w:szCs w:val="30"/>
        </w:rPr>
        <w:footnoteReference w:id="9"/>
      </w:r>
      <w:r>
        <w:rPr>
          <w:rFonts w:ascii="宋体" w:hAnsi="宋体" w:hint="eastAsia"/>
          <w:b/>
          <w:sz w:val="30"/>
          <w:szCs w:val="30"/>
          <w:vertAlign w:val="superscript"/>
        </w:rPr>
        <w:t>、</w:t>
      </w:r>
      <w:r>
        <w:rPr>
          <w:rStyle w:val="a5"/>
          <w:rFonts w:ascii="宋体" w:hAnsi="宋体"/>
          <w:b/>
          <w:sz w:val="30"/>
          <w:szCs w:val="30"/>
        </w:rPr>
        <w:footnoteReference w:id="10"/>
      </w:r>
      <w:r w:rsidRPr="001E6CEC">
        <w:rPr>
          <w:rFonts w:ascii="宋体" w:hAnsi="宋体" w:hint="eastAsia"/>
          <w:sz w:val="30"/>
          <w:szCs w:val="30"/>
        </w:rPr>
        <w:t>，收入分布函数</w:t>
      </w:r>
      <w:r>
        <w:rPr>
          <w:rFonts w:ascii="宋体" w:hAnsi="宋体" w:hint="eastAsia"/>
          <w:sz w:val="30"/>
          <w:szCs w:val="30"/>
        </w:rPr>
        <w:t>法（</w:t>
      </w:r>
      <w:r w:rsidRPr="001E6CEC">
        <w:rPr>
          <w:rFonts w:ascii="宋体" w:hAnsi="宋体" w:hint="eastAsia"/>
          <w:sz w:val="30"/>
          <w:szCs w:val="30"/>
        </w:rPr>
        <w:t>刘黎明</w:t>
      </w:r>
      <w:r>
        <w:rPr>
          <w:rFonts w:ascii="宋体" w:hAnsi="宋体" w:hint="eastAsia"/>
          <w:sz w:val="30"/>
          <w:szCs w:val="30"/>
        </w:rPr>
        <w:t>、</w:t>
      </w:r>
      <w:r w:rsidRPr="001E6CEC">
        <w:rPr>
          <w:rFonts w:ascii="宋体" w:hAnsi="宋体" w:hint="eastAsia"/>
          <w:sz w:val="30"/>
          <w:szCs w:val="30"/>
        </w:rPr>
        <w:t>梁志军</w:t>
      </w:r>
      <w:r>
        <w:rPr>
          <w:rFonts w:ascii="宋体" w:hAnsi="宋体" w:hint="eastAsia"/>
          <w:sz w:val="30"/>
          <w:szCs w:val="30"/>
        </w:rPr>
        <w:t>，2008）</w:t>
      </w:r>
      <w:r w:rsidRPr="00B45612">
        <w:rPr>
          <w:rFonts w:ascii="宋体" w:hAnsi="宋体"/>
          <w:b/>
          <w:sz w:val="30"/>
          <w:szCs w:val="30"/>
          <w:vertAlign w:val="superscript"/>
        </w:rPr>
        <w:t xml:space="preserve"> </w:t>
      </w:r>
      <w:r>
        <w:rPr>
          <w:rStyle w:val="a5"/>
          <w:rFonts w:ascii="宋体" w:hAnsi="宋体"/>
          <w:b/>
          <w:sz w:val="30"/>
          <w:szCs w:val="30"/>
        </w:rPr>
        <w:footnoteReference w:id="11"/>
      </w:r>
      <w:r w:rsidRPr="009403DD">
        <w:rPr>
          <w:rFonts w:ascii="宋体" w:hAnsi="宋体" w:hint="eastAsia"/>
          <w:sz w:val="30"/>
          <w:szCs w:val="30"/>
        </w:rPr>
        <w:t xml:space="preserve"> </w:t>
      </w:r>
      <w:r w:rsidRPr="001E6CEC">
        <w:rPr>
          <w:rFonts w:ascii="宋体" w:hAnsi="宋体" w:hint="eastAsia"/>
          <w:sz w:val="30"/>
          <w:szCs w:val="30"/>
        </w:rPr>
        <w:t>市场“菜篮子”</w:t>
      </w:r>
      <w:r>
        <w:rPr>
          <w:rFonts w:ascii="宋体" w:hAnsi="宋体" w:hint="eastAsia"/>
          <w:sz w:val="30"/>
          <w:szCs w:val="30"/>
        </w:rPr>
        <w:t>法（</w:t>
      </w:r>
      <w:r w:rsidRPr="001E6CEC">
        <w:rPr>
          <w:rFonts w:ascii="宋体" w:hAnsi="宋体" w:hint="eastAsia"/>
          <w:sz w:val="30"/>
          <w:szCs w:val="30"/>
        </w:rPr>
        <w:t>梁木</w:t>
      </w:r>
      <w:r>
        <w:rPr>
          <w:rFonts w:ascii="宋体" w:hAnsi="宋体" w:hint="eastAsia"/>
          <w:sz w:val="30"/>
          <w:szCs w:val="30"/>
        </w:rPr>
        <w:t>、</w:t>
      </w:r>
      <w:r w:rsidRPr="001E6CEC">
        <w:rPr>
          <w:rFonts w:ascii="宋体" w:hAnsi="宋体" w:hint="eastAsia"/>
          <w:sz w:val="30"/>
          <w:szCs w:val="30"/>
        </w:rPr>
        <w:t>李向伟</w:t>
      </w:r>
      <w:r>
        <w:rPr>
          <w:rFonts w:ascii="宋体" w:hAnsi="宋体" w:hint="eastAsia"/>
          <w:sz w:val="30"/>
          <w:szCs w:val="30"/>
        </w:rPr>
        <w:t>，2007）</w:t>
      </w:r>
      <w:r w:rsidRPr="009403DD">
        <w:rPr>
          <w:rStyle w:val="a5"/>
          <w:rFonts w:ascii="宋体" w:hAnsi="宋体"/>
          <w:b/>
          <w:sz w:val="30"/>
          <w:szCs w:val="30"/>
        </w:rPr>
        <w:footnoteReference w:id="12"/>
      </w:r>
      <w:r>
        <w:rPr>
          <w:rFonts w:ascii="宋体" w:hAnsi="宋体" w:hint="eastAsia"/>
          <w:sz w:val="30"/>
          <w:szCs w:val="30"/>
        </w:rPr>
        <w:t>等方法。</w:t>
      </w:r>
    </w:p>
    <w:p w:rsidR="009D0665" w:rsidRPr="00CD55AF" w:rsidRDefault="009D0665" w:rsidP="009D0665">
      <w:pPr>
        <w:pStyle w:val="a3"/>
        <w:rPr>
          <w:rFonts w:ascii="Times New Roman" w:hAnsi="Times New Roman"/>
          <w:b/>
          <w:sz w:val="28"/>
          <w:szCs w:val="28"/>
        </w:rPr>
      </w:pPr>
      <w:bookmarkStart w:id="5" w:name="_Toc381825654"/>
      <w:bookmarkStart w:id="6" w:name="_Toc382170282"/>
      <w:r w:rsidRPr="00CD55AF">
        <w:rPr>
          <w:rFonts w:ascii="Times New Roman" w:hAnsi="Times New Roman" w:hint="eastAsia"/>
          <w:b/>
          <w:sz w:val="28"/>
          <w:szCs w:val="28"/>
        </w:rPr>
        <w:t>3</w:t>
      </w:r>
      <w:r w:rsidRPr="00CD55AF">
        <w:rPr>
          <w:rFonts w:ascii="Times New Roman" w:hAnsi="Times New Roman"/>
          <w:b/>
          <w:sz w:val="28"/>
          <w:szCs w:val="28"/>
        </w:rPr>
        <w:t>.</w:t>
      </w:r>
      <w:r w:rsidRPr="00CD55AF">
        <w:rPr>
          <w:rFonts w:ascii="Times New Roman" w:hAnsi="Times New Roman" w:hint="eastAsia"/>
          <w:b/>
          <w:sz w:val="28"/>
          <w:szCs w:val="28"/>
        </w:rPr>
        <w:t>我国现有收入核算模型的研究</w:t>
      </w:r>
      <w:bookmarkEnd w:id="5"/>
      <w:bookmarkEnd w:id="6"/>
    </w:p>
    <w:p w:rsidR="009D0665" w:rsidRDefault="009D0665" w:rsidP="009D0665">
      <w:pPr>
        <w:spacing w:line="300" w:lineRule="auto"/>
        <w:ind w:firstLineChars="200" w:firstLine="600"/>
        <w:rPr>
          <w:rFonts w:ascii="宋体" w:hAnsi="宋体" w:hint="eastAsia"/>
          <w:sz w:val="30"/>
          <w:szCs w:val="30"/>
        </w:rPr>
      </w:pPr>
      <w:r>
        <w:rPr>
          <w:rFonts w:ascii="宋体" w:hAnsi="宋体" w:hint="eastAsia"/>
          <w:sz w:val="30"/>
          <w:szCs w:val="30"/>
        </w:rPr>
        <w:t>我国有关收入测定方法的研究，已经从最初</w:t>
      </w:r>
      <w:r w:rsidRPr="001E6CEC">
        <w:rPr>
          <w:rFonts w:ascii="宋体" w:hAnsi="宋体" w:hint="eastAsia"/>
          <w:sz w:val="30"/>
          <w:szCs w:val="30"/>
        </w:rPr>
        <w:t>简单</w:t>
      </w:r>
      <w:r>
        <w:rPr>
          <w:rFonts w:ascii="宋体" w:hAnsi="宋体" w:hint="eastAsia"/>
          <w:sz w:val="30"/>
          <w:szCs w:val="30"/>
        </w:rPr>
        <w:t>的描述性统计</w:t>
      </w:r>
      <w:r w:rsidRPr="001E6CEC">
        <w:rPr>
          <w:rFonts w:ascii="宋体" w:hAnsi="宋体" w:hint="eastAsia"/>
          <w:sz w:val="30"/>
          <w:szCs w:val="30"/>
        </w:rPr>
        <w:t>逐渐发</w:t>
      </w:r>
      <w:r>
        <w:rPr>
          <w:rFonts w:ascii="宋体" w:hAnsi="宋体" w:hint="eastAsia"/>
          <w:sz w:val="30"/>
          <w:szCs w:val="30"/>
        </w:rPr>
        <w:t>展为运用模型来对收入进行测定。目前对模型的研究越来越完善了，已经从单因素模型到多因素模型。</w:t>
      </w:r>
    </w:p>
    <w:p w:rsidR="009D0665" w:rsidRDefault="009D0665" w:rsidP="009D0665">
      <w:pPr>
        <w:spacing w:line="300" w:lineRule="auto"/>
        <w:ind w:firstLineChars="200" w:firstLine="600"/>
        <w:rPr>
          <w:rFonts w:ascii="宋体" w:hAnsi="宋体"/>
          <w:sz w:val="30"/>
          <w:szCs w:val="30"/>
        </w:rPr>
      </w:pPr>
    </w:p>
    <w:p w:rsidR="009D0665" w:rsidRPr="00CD55AF" w:rsidRDefault="009D0665" w:rsidP="009D0665">
      <w:pPr>
        <w:pStyle w:val="a3"/>
        <w:rPr>
          <w:rFonts w:ascii="Times New Roman" w:hAnsi="Times New Roman"/>
          <w:b/>
          <w:sz w:val="28"/>
          <w:szCs w:val="28"/>
        </w:rPr>
      </w:pPr>
      <w:r w:rsidRPr="00CD55AF">
        <w:rPr>
          <w:rFonts w:ascii="Times New Roman" w:hAnsi="Times New Roman" w:hint="eastAsia"/>
          <w:b/>
          <w:sz w:val="28"/>
          <w:szCs w:val="28"/>
        </w:rPr>
        <w:t>单因素模型</w:t>
      </w:r>
    </w:p>
    <w:p w:rsidR="009D0665" w:rsidRDefault="009D0665" w:rsidP="009D0665">
      <w:pPr>
        <w:spacing w:line="300" w:lineRule="auto"/>
        <w:ind w:firstLineChars="200" w:firstLine="600"/>
        <w:rPr>
          <w:rFonts w:ascii="宋体" w:hAnsi="宋体"/>
          <w:sz w:val="30"/>
          <w:szCs w:val="30"/>
        </w:rPr>
      </w:pPr>
      <w:r>
        <w:rPr>
          <w:rFonts w:ascii="宋体" w:hAnsi="宋体" w:hint="eastAsia"/>
          <w:sz w:val="30"/>
          <w:szCs w:val="30"/>
        </w:rPr>
        <w:t>王天夫、崔晓雄（</w:t>
      </w:r>
      <w:r w:rsidRPr="001E6CEC">
        <w:rPr>
          <w:rFonts w:ascii="宋体" w:hAnsi="宋体"/>
          <w:sz w:val="30"/>
          <w:szCs w:val="30"/>
        </w:rPr>
        <w:t>2010</w:t>
      </w:r>
      <w:r w:rsidRPr="001E6CEC">
        <w:rPr>
          <w:rFonts w:ascii="宋体" w:hAnsi="宋体" w:hint="eastAsia"/>
          <w:sz w:val="30"/>
          <w:szCs w:val="30"/>
        </w:rPr>
        <w:t>）</w:t>
      </w:r>
      <w:r w:rsidRPr="00183BBD">
        <w:rPr>
          <w:rStyle w:val="a5"/>
          <w:rFonts w:ascii="宋体" w:hAnsi="宋体"/>
          <w:b/>
          <w:sz w:val="30"/>
          <w:szCs w:val="30"/>
        </w:rPr>
        <w:footnoteReference w:id="13"/>
      </w:r>
      <w:r w:rsidRPr="00747832">
        <w:rPr>
          <w:rFonts w:ascii="宋体" w:hAnsi="宋体" w:hint="eastAsia"/>
          <w:sz w:val="30"/>
          <w:szCs w:val="30"/>
        </w:rPr>
        <w:t>曾指出</w:t>
      </w:r>
      <w:r>
        <w:rPr>
          <w:rFonts w:ascii="宋体" w:hAnsi="宋体" w:hint="eastAsia"/>
          <w:sz w:val="30"/>
          <w:szCs w:val="30"/>
        </w:rPr>
        <w:t>可以</w:t>
      </w:r>
      <w:r w:rsidRPr="001E6CEC">
        <w:rPr>
          <w:rFonts w:ascii="宋体" w:hAnsi="宋体" w:hint="eastAsia"/>
          <w:sz w:val="30"/>
          <w:szCs w:val="30"/>
        </w:rPr>
        <w:t>通过</w:t>
      </w:r>
      <w:r>
        <w:rPr>
          <w:rFonts w:ascii="宋体" w:hAnsi="宋体" w:hint="eastAsia"/>
          <w:sz w:val="30"/>
          <w:szCs w:val="30"/>
        </w:rPr>
        <w:t>构建</w:t>
      </w:r>
      <w:r w:rsidRPr="001E6CEC">
        <w:rPr>
          <w:rFonts w:ascii="宋体" w:hAnsi="宋体" w:hint="eastAsia"/>
          <w:sz w:val="30"/>
          <w:szCs w:val="30"/>
        </w:rPr>
        <w:t>多层线性模型来分析行业是如何影响收入的。经由巧妙对接生成的多层结构的数据</w:t>
      </w:r>
      <w:r w:rsidRPr="001E6CEC">
        <w:rPr>
          <w:rFonts w:ascii="宋体" w:hAnsi="宋体"/>
          <w:sz w:val="30"/>
          <w:szCs w:val="30"/>
        </w:rPr>
        <w:t xml:space="preserve">, </w:t>
      </w:r>
      <w:r w:rsidRPr="001E6CEC">
        <w:rPr>
          <w:rFonts w:ascii="宋体" w:hAnsi="宋体" w:hint="eastAsia"/>
          <w:sz w:val="30"/>
          <w:szCs w:val="30"/>
        </w:rPr>
        <w:t>详细讨论了行业影响收入分配的两个截然不同的逻辑与路径</w:t>
      </w:r>
      <w:r w:rsidRPr="001E6CEC">
        <w:rPr>
          <w:rFonts w:ascii="宋体" w:hAnsi="宋体"/>
          <w:sz w:val="30"/>
          <w:szCs w:val="30"/>
        </w:rPr>
        <w:t xml:space="preserve">: </w:t>
      </w:r>
      <w:r w:rsidRPr="001E6CEC">
        <w:rPr>
          <w:rFonts w:ascii="宋体" w:hAnsi="宋体" w:hint="eastAsia"/>
          <w:sz w:val="30"/>
          <w:szCs w:val="30"/>
        </w:rPr>
        <w:t>一是直接影响不同行业的平均收入</w:t>
      </w:r>
      <w:r w:rsidRPr="001E6CEC">
        <w:rPr>
          <w:rFonts w:ascii="宋体" w:hAnsi="宋体"/>
          <w:sz w:val="30"/>
          <w:szCs w:val="30"/>
        </w:rPr>
        <w:t xml:space="preserve">, </w:t>
      </w:r>
      <w:r w:rsidRPr="001E6CEC">
        <w:rPr>
          <w:rFonts w:ascii="宋体" w:hAnsi="宋体" w:hint="eastAsia"/>
          <w:sz w:val="30"/>
          <w:szCs w:val="30"/>
        </w:rPr>
        <w:t>二是结构性地调整不同行业中个人特征</w:t>
      </w:r>
      <w:r w:rsidRPr="001E6CEC">
        <w:rPr>
          <w:rFonts w:ascii="宋体" w:hAnsi="宋体"/>
          <w:sz w:val="30"/>
          <w:szCs w:val="30"/>
        </w:rPr>
        <w:t xml:space="preserve">( </w:t>
      </w:r>
      <w:r w:rsidRPr="001E6CEC">
        <w:rPr>
          <w:rFonts w:ascii="宋体" w:hAnsi="宋体" w:hint="eastAsia"/>
          <w:sz w:val="30"/>
          <w:szCs w:val="30"/>
        </w:rPr>
        <w:t>包括性别、年龄、教育等</w:t>
      </w:r>
      <w:r w:rsidRPr="001E6CEC">
        <w:rPr>
          <w:rFonts w:ascii="宋体" w:hAnsi="宋体"/>
          <w:sz w:val="30"/>
          <w:szCs w:val="30"/>
        </w:rPr>
        <w:t xml:space="preserve">) </w:t>
      </w:r>
      <w:r w:rsidRPr="001E6CEC">
        <w:rPr>
          <w:rFonts w:ascii="宋体" w:hAnsi="宋体" w:hint="eastAsia"/>
          <w:sz w:val="30"/>
          <w:szCs w:val="30"/>
        </w:rPr>
        <w:t>的收入回报率。该模型仅表明了单一因素，即行业因素对个人收入的影响，而没有包括其他对收入有影响的因素。</w:t>
      </w:r>
      <w:r>
        <w:rPr>
          <w:rFonts w:ascii="宋体" w:hAnsi="宋体" w:hint="eastAsia"/>
          <w:sz w:val="30"/>
          <w:szCs w:val="30"/>
        </w:rPr>
        <w:t>孙海涛（</w:t>
      </w:r>
      <w:r w:rsidRPr="001E6CEC">
        <w:rPr>
          <w:rFonts w:ascii="宋体" w:hAnsi="宋体"/>
          <w:sz w:val="30"/>
          <w:szCs w:val="30"/>
        </w:rPr>
        <w:t>2010</w:t>
      </w:r>
      <w:r w:rsidRPr="001E6CEC">
        <w:rPr>
          <w:rFonts w:ascii="宋体" w:hAnsi="宋体" w:hint="eastAsia"/>
          <w:sz w:val="30"/>
          <w:szCs w:val="30"/>
        </w:rPr>
        <w:t>年）</w:t>
      </w:r>
      <w:r w:rsidRPr="00183BBD">
        <w:rPr>
          <w:rStyle w:val="a5"/>
          <w:rFonts w:ascii="宋体" w:hAnsi="宋体"/>
          <w:b/>
          <w:sz w:val="30"/>
          <w:szCs w:val="30"/>
        </w:rPr>
        <w:footnoteReference w:id="14"/>
      </w:r>
      <w:r>
        <w:rPr>
          <w:rFonts w:ascii="宋体" w:hAnsi="宋体" w:hint="eastAsia"/>
          <w:sz w:val="30"/>
          <w:szCs w:val="30"/>
        </w:rPr>
        <w:t>运用</w:t>
      </w:r>
      <w:r w:rsidRPr="001E6CEC">
        <w:rPr>
          <w:rFonts w:ascii="宋体" w:hAnsi="宋体" w:hint="eastAsia"/>
          <w:sz w:val="30"/>
          <w:szCs w:val="30"/>
        </w:rPr>
        <w:t>误差修正模型，从平稳性检验、因果关系检验、</w:t>
      </w:r>
      <w:proofErr w:type="gramStart"/>
      <w:r w:rsidRPr="001E6CEC">
        <w:rPr>
          <w:rFonts w:ascii="宋体" w:hAnsi="宋体" w:hint="eastAsia"/>
          <w:sz w:val="30"/>
          <w:szCs w:val="30"/>
        </w:rPr>
        <w:t>协整检验</w:t>
      </w:r>
      <w:proofErr w:type="gramEnd"/>
      <w:r w:rsidRPr="001E6CEC">
        <w:rPr>
          <w:rFonts w:ascii="宋体" w:hAnsi="宋体" w:hint="eastAsia"/>
          <w:sz w:val="30"/>
          <w:szCs w:val="30"/>
        </w:rPr>
        <w:t>和误差修正模型角度，利用计量经济学方法，得出人均可支配收入和人均消费支出之间存在长期均衡的单项因果关系</w:t>
      </w:r>
      <w:r>
        <w:rPr>
          <w:rFonts w:ascii="宋体" w:hAnsi="宋体" w:hint="eastAsia"/>
          <w:sz w:val="30"/>
          <w:szCs w:val="30"/>
        </w:rPr>
        <w:t>，提出</w:t>
      </w:r>
      <w:r w:rsidRPr="001E6CEC">
        <w:rPr>
          <w:rFonts w:ascii="宋体" w:hAnsi="宋体" w:hint="eastAsia"/>
          <w:sz w:val="30"/>
          <w:szCs w:val="30"/>
        </w:rPr>
        <w:t>根据</w:t>
      </w:r>
      <w:r>
        <w:rPr>
          <w:rFonts w:ascii="宋体" w:hAnsi="宋体" w:hint="eastAsia"/>
          <w:sz w:val="30"/>
          <w:szCs w:val="30"/>
        </w:rPr>
        <w:t>这种关系，可以利用消费支出的数据来核算</w:t>
      </w:r>
      <w:r w:rsidRPr="001E6CEC">
        <w:rPr>
          <w:rFonts w:ascii="宋体" w:hAnsi="宋体" w:hint="eastAsia"/>
          <w:sz w:val="30"/>
          <w:szCs w:val="30"/>
        </w:rPr>
        <w:t>居民收入。</w:t>
      </w:r>
    </w:p>
    <w:p w:rsidR="009D0665" w:rsidRPr="00CD55AF" w:rsidRDefault="009D0665" w:rsidP="009D0665">
      <w:pPr>
        <w:pStyle w:val="a3"/>
        <w:rPr>
          <w:rFonts w:ascii="Times New Roman" w:hAnsi="Times New Roman"/>
          <w:b/>
          <w:sz w:val="28"/>
          <w:szCs w:val="28"/>
        </w:rPr>
      </w:pPr>
      <w:r w:rsidRPr="00CD55AF">
        <w:rPr>
          <w:rFonts w:ascii="Times New Roman" w:hAnsi="Times New Roman" w:hint="eastAsia"/>
          <w:b/>
          <w:sz w:val="28"/>
          <w:szCs w:val="28"/>
        </w:rPr>
        <w:t>多因素模型</w:t>
      </w:r>
    </w:p>
    <w:p w:rsidR="009D0665" w:rsidRPr="001E6CEC" w:rsidRDefault="009D0665" w:rsidP="009D0665">
      <w:pPr>
        <w:spacing w:line="300" w:lineRule="auto"/>
        <w:ind w:firstLineChars="200" w:firstLine="600"/>
        <w:rPr>
          <w:rFonts w:ascii="宋体" w:hAnsi="宋体"/>
          <w:sz w:val="30"/>
          <w:szCs w:val="30"/>
        </w:rPr>
      </w:pPr>
      <w:r w:rsidRPr="001E6CEC">
        <w:rPr>
          <w:rFonts w:ascii="宋体" w:hAnsi="宋体" w:hint="eastAsia"/>
          <w:sz w:val="30"/>
          <w:szCs w:val="30"/>
        </w:rPr>
        <w:t>李红梅（</w:t>
      </w:r>
      <w:r w:rsidRPr="001E6CEC">
        <w:rPr>
          <w:rFonts w:ascii="宋体" w:hAnsi="宋体"/>
          <w:sz w:val="30"/>
          <w:szCs w:val="30"/>
        </w:rPr>
        <w:t>2012</w:t>
      </w:r>
      <w:r w:rsidRPr="001E6CEC">
        <w:rPr>
          <w:rFonts w:ascii="宋体" w:hAnsi="宋体" w:hint="eastAsia"/>
          <w:sz w:val="30"/>
          <w:szCs w:val="30"/>
        </w:rPr>
        <w:t>年）</w:t>
      </w:r>
      <w:r w:rsidRPr="00183BBD">
        <w:rPr>
          <w:rStyle w:val="a5"/>
          <w:rFonts w:ascii="宋体" w:hAnsi="宋体"/>
          <w:b/>
          <w:sz w:val="30"/>
          <w:szCs w:val="30"/>
        </w:rPr>
        <w:footnoteReference w:id="15"/>
      </w:r>
      <w:r>
        <w:rPr>
          <w:rFonts w:ascii="宋体" w:hAnsi="宋体" w:hint="eastAsia"/>
          <w:sz w:val="30"/>
          <w:szCs w:val="30"/>
        </w:rPr>
        <w:t>运用</w:t>
      </w:r>
      <w:r w:rsidRPr="001E6CEC">
        <w:rPr>
          <w:rFonts w:ascii="宋体" w:hAnsi="宋体" w:hint="eastAsia"/>
          <w:sz w:val="30"/>
          <w:szCs w:val="30"/>
        </w:rPr>
        <w:t>半参数分位数模型，来研究教育、性别、年龄、城乡、地区经济这些因素是如</w:t>
      </w:r>
      <w:r>
        <w:rPr>
          <w:rFonts w:ascii="宋体" w:hAnsi="宋体" w:hint="eastAsia"/>
          <w:sz w:val="30"/>
          <w:szCs w:val="30"/>
        </w:rPr>
        <w:t>何影响居民个人收入的，这些因素影响收入的作用方式是不同的，有的以</w:t>
      </w:r>
      <w:r w:rsidRPr="001E6CEC">
        <w:rPr>
          <w:rFonts w:ascii="宋体" w:hAnsi="宋体" w:hint="eastAsia"/>
          <w:sz w:val="30"/>
          <w:szCs w:val="30"/>
        </w:rPr>
        <w:t>参数形式存在，有的则是以非参数形式存在。同时，这些因素在收入的不同分位点影响收入的程度也是不同的，通过构造</w:t>
      </w:r>
      <w:r>
        <w:rPr>
          <w:rFonts w:ascii="宋体" w:hAnsi="宋体" w:hint="eastAsia"/>
          <w:sz w:val="30"/>
          <w:szCs w:val="30"/>
        </w:rPr>
        <w:t>半参数分位数回归</w:t>
      </w:r>
      <w:r>
        <w:rPr>
          <w:rFonts w:ascii="宋体" w:hAnsi="宋体" w:hint="eastAsia"/>
          <w:sz w:val="30"/>
          <w:szCs w:val="30"/>
        </w:rPr>
        <w:lastRenderedPageBreak/>
        <w:t>模型，得出各因素对居民个人收入影响的参数效应。</w:t>
      </w:r>
    </w:p>
    <w:p w:rsidR="009D0665" w:rsidRPr="001E6CEC" w:rsidRDefault="009D0665" w:rsidP="009D0665">
      <w:pPr>
        <w:spacing w:line="300" w:lineRule="auto"/>
        <w:ind w:firstLineChars="200" w:firstLine="600"/>
        <w:rPr>
          <w:rFonts w:ascii="宋体" w:hAnsi="宋体"/>
          <w:sz w:val="30"/>
          <w:szCs w:val="30"/>
        </w:rPr>
      </w:pPr>
      <w:r w:rsidRPr="001E6CEC">
        <w:rPr>
          <w:rFonts w:ascii="宋体" w:hAnsi="宋体" w:hint="eastAsia"/>
          <w:sz w:val="30"/>
          <w:szCs w:val="30"/>
        </w:rPr>
        <w:t>关于国内城市低收入群体收入问题的研究对本次调查有重要的启迪，在思路完成和框架完善方面都有指导作用。</w:t>
      </w:r>
      <w:proofErr w:type="gramStart"/>
      <w:r w:rsidRPr="001E6CEC">
        <w:rPr>
          <w:rFonts w:ascii="宋体" w:hAnsi="宋体" w:hint="eastAsia"/>
          <w:sz w:val="30"/>
          <w:szCs w:val="30"/>
        </w:rPr>
        <w:t>城市低保制度</w:t>
      </w:r>
      <w:proofErr w:type="gramEnd"/>
      <w:r w:rsidRPr="001E6CEC">
        <w:rPr>
          <w:rFonts w:ascii="宋体" w:hAnsi="宋体" w:hint="eastAsia"/>
          <w:sz w:val="30"/>
          <w:szCs w:val="30"/>
        </w:rPr>
        <w:t>建立至今，时间还不长，学界的研究主要从建立</w:t>
      </w:r>
      <w:proofErr w:type="gramStart"/>
      <w:r w:rsidRPr="001E6CEC">
        <w:rPr>
          <w:rFonts w:ascii="宋体" w:hAnsi="宋体" w:hint="eastAsia"/>
          <w:sz w:val="30"/>
          <w:szCs w:val="30"/>
        </w:rPr>
        <w:t>城镇低保的</w:t>
      </w:r>
      <w:proofErr w:type="gramEnd"/>
      <w:r w:rsidRPr="001E6CEC">
        <w:rPr>
          <w:rFonts w:ascii="宋体" w:hAnsi="宋体" w:hint="eastAsia"/>
          <w:sz w:val="30"/>
          <w:szCs w:val="30"/>
        </w:rPr>
        <w:t>必要性与可行性，</w:t>
      </w:r>
      <w:proofErr w:type="gramStart"/>
      <w:r w:rsidRPr="001E6CEC">
        <w:rPr>
          <w:rFonts w:ascii="宋体" w:hAnsi="宋体" w:hint="eastAsia"/>
          <w:sz w:val="30"/>
          <w:szCs w:val="30"/>
        </w:rPr>
        <w:t>城镇低保的</w:t>
      </w:r>
      <w:proofErr w:type="gramEnd"/>
      <w:r w:rsidRPr="001E6CEC">
        <w:rPr>
          <w:rFonts w:ascii="宋体" w:hAnsi="宋体" w:hint="eastAsia"/>
          <w:sz w:val="30"/>
          <w:szCs w:val="30"/>
        </w:rPr>
        <w:t>现状、问题、成因及对策，</w:t>
      </w:r>
      <w:proofErr w:type="gramStart"/>
      <w:r w:rsidRPr="001E6CEC">
        <w:rPr>
          <w:rFonts w:ascii="宋体" w:hAnsi="宋体" w:hint="eastAsia"/>
          <w:sz w:val="30"/>
          <w:szCs w:val="30"/>
        </w:rPr>
        <w:t>低保制度</w:t>
      </w:r>
      <w:proofErr w:type="gramEnd"/>
      <w:r w:rsidRPr="001E6CEC">
        <w:rPr>
          <w:rFonts w:ascii="宋体" w:hAnsi="宋体" w:hint="eastAsia"/>
          <w:sz w:val="30"/>
          <w:szCs w:val="30"/>
        </w:rPr>
        <w:t>的法律建设等角度对</w:t>
      </w:r>
      <w:proofErr w:type="gramStart"/>
      <w:r w:rsidRPr="001E6CEC">
        <w:rPr>
          <w:rFonts w:ascii="宋体" w:hAnsi="宋体" w:hint="eastAsia"/>
          <w:sz w:val="30"/>
          <w:szCs w:val="30"/>
        </w:rPr>
        <w:t>城镇低保制度</w:t>
      </w:r>
      <w:proofErr w:type="gramEnd"/>
      <w:r w:rsidRPr="001E6CEC">
        <w:rPr>
          <w:rFonts w:ascii="宋体" w:hAnsi="宋体" w:hint="eastAsia"/>
          <w:sz w:val="30"/>
          <w:szCs w:val="30"/>
        </w:rPr>
        <w:t>进行了宏观定性分析与探讨，总体上对</w:t>
      </w:r>
      <w:proofErr w:type="gramStart"/>
      <w:r w:rsidRPr="001E6CEC">
        <w:rPr>
          <w:rFonts w:ascii="宋体" w:hAnsi="宋体" w:hint="eastAsia"/>
          <w:sz w:val="30"/>
          <w:szCs w:val="30"/>
        </w:rPr>
        <w:t>城镇低保的</w:t>
      </w:r>
      <w:proofErr w:type="gramEnd"/>
      <w:r w:rsidRPr="001E6CEC">
        <w:rPr>
          <w:rFonts w:ascii="宋体" w:hAnsi="宋体" w:hint="eastAsia"/>
          <w:sz w:val="30"/>
          <w:szCs w:val="30"/>
        </w:rPr>
        <w:t>研究向问题的精细化、研究化发展。从近几年的学界研究成果看，学者们对城镇低收入群体收入测定体系进行更进一步的研究，从不同层面、不同角度、不同计量方法对问题进行了探索。但是，当前对于低收入群体收入核算体系的研究略显粗糙，一些影响收入的重要因素没有被纳入到模型中，或者是纳入时采用的方法不合理。</w:t>
      </w:r>
      <w:r>
        <w:rPr>
          <w:rFonts w:ascii="宋体" w:hAnsi="宋体" w:hint="eastAsia"/>
          <w:sz w:val="30"/>
          <w:szCs w:val="30"/>
        </w:rPr>
        <w:t>产生这一情况的主要原因是</w:t>
      </w:r>
      <w:r w:rsidRPr="001E6CEC">
        <w:rPr>
          <w:rFonts w:ascii="宋体" w:hAnsi="宋体" w:hint="eastAsia"/>
          <w:sz w:val="30"/>
          <w:szCs w:val="30"/>
        </w:rPr>
        <w:t>实地调查研究程度不够深入。</w:t>
      </w:r>
      <w:r>
        <w:rPr>
          <w:rFonts w:ascii="宋体" w:hAnsi="宋体" w:hint="eastAsia"/>
          <w:sz w:val="30"/>
          <w:szCs w:val="30"/>
        </w:rPr>
        <w:t>因此</w:t>
      </w:r>
      <w:r w:rsidRPr="001E6CEC">
        <w:rPr>
          <w:rFonts w:ascii="宋体" w:hAnsi="宋体" w:hint="eastAsia"/>
          <w:sz w:val="30"/>
          <w:szCs w:val="30"/>
        </w:rPr>
        <w:t>，我们对大连市城市低收入群体收入进行实地深入的调查，以求得出更加完善的收入的核算模型。</w:t>
      </w:r>
    </w:p>
    <w:p w:rsidR="009D0665" w:rsidRPr="008F4868" w:rsidRDefault="009D0665" w:rsidP="009D0665">
      <w:pPr>
        <w:pStyle w:val="2"/>
        <w:rPr>
          <w:rFonts w:ascii="Times New Roman" w:hAnsi="Times New Roman" w:hint="eastAsia"/>
        </w:rPr>
      </w:pPr>
      <w:r w:rsidRPr="008F4868">
        <w:rPr>
          <w:rFonts w:ascii="Times New Roman" w:hint="eastAsia"/>
        </w:rPr>
        <w:t>【</w:t>
      </w:r>
      <w:r>
        <w:rPr>
          <w:rFonts w:ascii="Times New Roman" w:hint="eastAsia"/>
        </w:rPr>
        <w:t>收入调查的经验与借鉴</w:t>
      </w:r>
      <w:r w:rsidRPr="008F4868">
        <w:rPr>
          <w:rFonts w:ascii="Times New Roman" w:hint="eastAsia"/>
        </w:rPr>
        <w:t>】</w:t>
      </w:r>
    </w:p>
    <w:p w:rsidR="009D0665" w:rsidRDefault="009D0665" w:rsidP="009D0665">
      <w:pPr>
        <w:pStyle w:val="a3"/>
        <w:rPr>
          <w:rFonts w:ascii="Times New Roman" w:hAnsi="Times New Roman" w:hint="eastAsia"/>
          <w:sz w:val="28"/>
          <w:szCs w:val="28"/>
        </w:rPr>
      </w:pPr>
      <w:r w:rsidRPr="006B7F31">
        <w:rPr>
          <w:rFonts w:ascii="Times New Roman" w:hAnsi="Times New Roman" w:hint="eastAsia"/>
          <w:sz w:val="28"/>
          <w:szCs w:val="28"/>
        </w:rPr>
        <w:t>收入是社会科学领域研究社会现象间关系、表明人民生活水平的重要数据。作为制定和评估社会政策的重要指标，它在社会科学调查中是不可或缺的。实际中，对收入，特别是家庭收入的测量总是面临重大挑战，家庭收入包括所有家户成员在一定时期内</w:t>
      </w:r>
      <w:r w:rsidRPr="006B7F31">
        <w:rPr>
          <w:rFonts w:ascii="Times New Roman" w:hAnsi="Times New Roman" w:hint="eastAsia"/>
          <w:sz w:val="28"/>
          <w:szCs w:val="28"/>
        </w:rPr>
        <w:t>(</w:t>
      </w:r>
      <w:r w:rsidRPr="006B7F31">
        <w:rPr>
          <w:rFonts w:ascii="Times New Roman" w:hAnsi="Times New Roman" w:hint="eastAsia"/>
          <w:sz w:val="28"/>
          <w:szCs w:val="28"/>
        </w:rPr>
        <w:t>通常为</w:t>
      </w:r>
      <w:r w:rsidRPr="006B7F31">
        <w:rPr>
          <w:rFonts w:ascii="Times New Roman" w:hAnsi="Times New Roman" w:hint="eastAsia"/>
          <w:sz w:val="28"/>
          <w:szCs w:val="28"/>
        </w:rPr>
        <w:t xml:space="preserve">1 </w:t>
      </w:r>
      <w:r w:rsidRPr="006B7F31">
        <w:rPr>
          <w:rFonts w:ascii="Times New Roman" w:hAnsi="Times New Roman" w:hint="eastAsia"/>
          <w:sz w:val="28"/>
          <w:szCs w:val="28"/>
        </w:rPr>
        <w:t>年</w:t>
      </w:r>
      <w:r w:rsidRPr="006B7F31">
        <w:rPr>
          <w:rFonts w:ascii="Times New Roman" w:hAnsi="Times New Roman" w:hint="eastAsia"/>
          <w:sz w:val="28"/>
          <w:szCs w:val="28"/>
        </w:rPr>
        <w:t>)</w:t>
      </w:r>
      <w:r w:rsidRPr="006B7F31">
        <w:rPr>
          <w:rFonts w:ascii="Times New Roman" w:hAnsi="Times New Roman" w:hint="eastAsia"/>
          <w:sz w:val="28"/>
          <w:szCs w:val="28"/>
        </w:rPr>
        <w:t>的全部可支配收入（扣除缴纳个人所得税以及个人缴纳的基本社会保障支出后的工薪收入、经营性净收入、财产</w:t>
      </w:r>
      <w:bookmarkStart w:id="7" w:name="_GoBack"/>
      <w:bookmarkEnd w:id="7"/>
      <w:r w:rsidRPr="006B7F31">
        <w:rPr>
          <w:rFonts w:ascii="Times New Roman" w:hAnsi="Times New Roman" w:hint="eastAsia"/>
          <w:sz w:val="28"/>
          <w:szCs w:val="28"/>
        </w:rPr>
        <w:t>性收入和转移性收入等），</w:t>
      </w:r>
      <w:r w:rsidRPr="006B7F31">
        <w:rPr>
          <w:rFonts w:ascii="Times New Roman" w:hAnsi="Times New Roman" w:hint="eastAsia"/>
          <w:sz w:val="28"/>
          <w:szCs w:val="28"/>
        </w:rPr>
        <w:lastRenderedPageBreak/>
        <w:t>需要调查者详细询问各项收入的来源及准确金额。而如何更准确地测量收入，一直是研究者普遍重视、力求不断改进的问题。</w:t>
      </w:r>
    </w:p>
    <w:p w:rsidR="009D0665" w:rsidRPr="00B120CE" w:rsidRDefault="009D0665" w:rsidP="009D0665">
      <w:pPr>
        <w:pStyle w:val="a3"/>
        <w:rPr>
          <w:rFonts w:ascii="Times New Roman" w:hAnsi="Times New Roman"/>
          <w:b/>
          <w:sz w:val="28"/>
          <w:szCs w:val="28"/>
        </w:rPr>
      </w:pPr>
      <w:r w:rsidRPr="00B120CE">
        <w:rPr>
          <w:rFonts w:ascii="Times New Roman" w:hAnsi="Times New Roman" w:hint="eastAsia"/>
          <w:b/>
          <w:sz w:val="28"/>
          <w:szCs w:val="28"/>
        </w:rPr>
        <w:t>一、我国居民收入的调查方式</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目前，我国收入调查的主要方式分为两种：一是通过让被调查者记账的方式采集居民收入、支出数据；一是通过问卷调查的方式获得居民收入数据，这两种方式各有利弊。</w:t>
      </w:r>
    </w:p>
    <w:p w:rsidR="009D0665" w:rsidRPr="00B120CE" w:rsidRDefault="009D0665" w:rsidP="009D0665">
      <w:pPr>
        <w:pStyle w:val="a3"/>
        <w:rPr>
          <w:rFonts w:ascii="Times New Roman" w:hAnsi="Times New Roman" w:hint="eastAsia"/>
          <w:b/>
          <w:sz w:val="28"/>
          <w:szCs w:val="28"/>
        </w:rPr>
      </w:pPr>
      <w:r w:rsidRPr="00B120CE">
        <w:rPr>
          <w:rFonts w:ascii="Times New Roman" w:hAnsi="Times New Roman" w:hint="eastAsia"/>
          <w:b/>
          <w:sz w:val="28"/>
          <w:szCs w:val="28"/>
        </w:rPr>
        <w:t>（一）记账方式的优劣势分析</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我国官方统计部门通常采用这种方式采集收入数据。记账方式采集数据要求被调查者详细记录生活中的每一项收入和支出，这种方式采集数据的优点在于数据详实。</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但是由于数据要求较高，被调查者必须详细的记录每一笔收支，回答负担较重。因此在我国的居民收入调查中存在着</w:t>
      </w:r>
      <w:r w:rsidRPr="00CA6EEA">
        <w:rPr>
          <w:rFonts w:ascii="Times New Roman" w:hAnsi="Times New Roman" w:hint="eastAsia"/>
          <w:sz w:val="28"/>
          <w:szCs w:val="28"/>
        </w:rPr>
        <w:t>家庭收入填报不准</w:t>
      </w:r>
      <w:r w:rsidRPr="00CA6EEA">
        <w:rPr>
          <w:rFonts w:ascii="Times New Roman" w:hAnsi="Times New Roman"/>
          <w:sz w:val="28"/>
          <w:szCs w:val="28"/>
        </w:rPr>
        <w:t xml:space="preserve"> </w:t>
      </w:r>
      <w:r>
        <w:rPr>
          <w:rFonts w:ascii="Times New Roman" w:hAnsi="Times New Roman" w:hint="eastAsia"/>
          <w:sz w:val="28"/>
          <w:szCs w:val="28"/>
        </w:rPr>
        <w:t>、</w:t>
      </w:r>
      <w:r w:rsidRPr="00CA6EEA">
        <w:rPr>
          <w:rFonts w:ascii="Times New Roman" w:hAnsi="Times New Roman" w:hint="eastAsia"/>
          <w:sz w:val="28"/>
          <w:szCs w:val="28"/>
        </w:rPr>
        <w:t>配合不到位的问题</w:t>
      </w:r>
      <w:r>
        <w:rPr>
          <w:rFonts w:ascii="Times New Roman" w:hAnsi="Times New Roman" w:hint="eastAsia"/>
          <w:sz w:val="28"/>
          <w:szCs w:val="28"/>
        </w:rPr>
        <w:t>、</w:t>
      </w:r>
      <w:r w:rsidRPr="00CA6EEA">
        <w:rPr>
          <w:rFonts w:ascii="Times New Roman" w:hAnsi="Times New Roman" w:hint="eastAsia"/>
          <w:sz w:val="28"/>
          <w:szCs w:val="28"/>
        </w:rPr>
        <w:t>手存现金不准</w:t>
      </w:r>
      <w:r>
        <w:rPr>
          <w:rFonts w:ascii="Times New Roman" w:hAnsi="Times New Roman" w:hint="eastAsia"/>
          <w:sz w:val="28"/>
          <w:szCs w:val="28"/>
        </w:rPr>
        <w:t>、</w:t>
      </w:r>
      <w:r w:rsidRPr="00CA6EEA">
        <w:rPr>
          <w:rFonts w:ascii="Times New Roman" w:hAnsi="Times New Roman" w:hint="eastAsia"/>
          <w:sz w:val="28"/>
          <w:szCs w:val="28"/>
        </w:rPr>
        <w:t>支出项目登记不全</w:t>
      </w:r>
      <w:r>
        <w:rPr>
          <w:rFonts w:ascii="Times New Roman" w:hAnsi="Times New Roman" w:hint="eastAsia"/>
          <w:sz w:val="28"/>
          <w:szCs w:val="28"/>
        </w:rPr>
        <w:t>等问题。</w:t>
      </w:r>
    </w:p>
    <w:p w:rsidR="009D0665" w:rsidRPr="00615888" w:rsidRDefault="009D0665" w:rsidP="009D0665">
      <w:pPr>
        <w:pStyle w:val="a3"/>
        <w:rPr>
          <w:rFonts w:ascii="Times New Roman" w:hAnsi="Times New Roman" w:hint="eastAsia"/>
          <w:sz w:val="28"/>
          <w:szCs w:val="28"/>
        </w:rPr>
      </w:pPr>
      <w:r>
        <w:rPr>
          <w:rFonts w:ascii="Times New Roman" w:hAnsi="Times New Roman" w:hint="eastAsia"/>
          <w:sz w:val="28"/>
          <w:szCs w:val="28"/>
        </w:rPr>
        <w:t>并且由于记账式调查方法需要的时间周期较长、技术要求较高，所以在调查正式开始之前必须与被调查者进行充分沟通，并对被调查者开展记账方法的相应培训。</w:t>
      </w:r>
    </w:p>
    <w:p w:rsidR="009D0665" w:rsidRPr="00B120CE" w:rsidRDefault="009D0665" w:rsidP="009D0665">
      <w:pPr>
        <w:pStyle w:val="a3"/>
        <w:rPr>
          <w:rFonts w:ascii="Times New Roman" w:hAnsi="Times New Roman" w:hint="eastAsia"/>
          <w:b/>
          <w:sz w:val="28"/>
          <w:szCs w:val="28"/>
        </w:rPr>
      </w:pPr>
      <w:r w:rsidRPr="00B120CE">
        <w:rPr>
          <w:rFonts w:ascii="Times New Roman" w:hAnsi="Times New Roman" w:hint="eastAsia"/>
          <w:b/>
          <w:sz w:val="28"/>
          <w:szCs w:val="28"/>
        </w:rPr>
        <w:t>（二）问卷调查的优劣势分析</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问卷调查是一种常规的调查方式，适用于多种领域的调查，我国的许多学者以及研究机构经常使用问卷调查的方式调查居民收入的调查。</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这种调查方式的优点在于，调查的组织和实施较为便利，调查成本也比记账式调查低。尽管在数据的详细程度上与记账式调查有一定</w:t>
      </w:r>
      <w:r>
        <w:rPr>
          <w:rFonts w:ascii="Times New Roman" w:hAnsi="Times New Roman" w:hint="eastAsia"/>
          <w:sz w:val="28"/>
          <w:szCs w:val="28"/>
        </w:rPr>
        <w:lastRenderedPageBreak/>
        <w:t>差距，但是由于被调查者回答负担较轻，所以通常被调查的配合度较高，在一定程度上数据质量甚至高于记账式调查。</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但是也必须注意，收入对于被调查者来说往往是敏感性指标，因此在问卷设计、访谈执行过程中不恰当的设计和操作有可能会造成数据失真。另外，由于被调查者回答问卷时需要对近期收支情况进行汇总和整理，这也有可能造成数据的误差。</w:t>
      </w:r>
    </w:p>
    <w:p w:rsidR="009D0665" w:rsidRPr="00B120CE" w:rsidRDefault="009D0665" w:rsidP="009D0665">
      <w:pPr>
        <w:pStyle w:val="a3"/>
        <w:rPr>
          <w:rFonts w:ascii="Times New Roman" w:hAnsi="Times New Roman" w:hint="eastAsia"/>
          <w:b/>
          <w:sz w:val="28"/>
          <w:szCs w:val="28"/>
        </w:rPr>
      </w:pPr>
      <w:r w:rsidRPr="00B120CE">
        <w:rPr>
          <w:rFonts w:ascii="Times New Roman" w:hAnsi="Times New Roman" w:hint="eastAsia"/>
          <w:b/>
          <w:sz w:val="28"/>
          <w:szCs w:val="28"/>
        </w:rPr>
        <w:t>二、我国收入调查普遍存在的问题</w:t>
      </w:r>
    </w:p>
    <w:p w:rsidR="009D0665" w:rsidRPr="00B120CE" w:rsidRDefault="009D0665" w:rsidP="009D0665">
      <w:pPr>
        <w:pStyle w:val="a3"/>
        <w:rPr>
          <w:rFonts w:ascii="Times New Roman" w:hAnsi="Times New Roman" w:hint="eastAsia"/>
          <w:sz w:val="28"/>
          <w:szCs w:val="28"/>
        </w:rPr>
      </w:pPr>
      <w:r w:rsidRPr="00B120CE">
        <w:rPr>
          <w:rFonts w:ascii="Times New Roman" w:hAnsi="Times New Roman" w:hint="eastAsia"/>
          <w:sz w:val="28"/>
          <w:szCs w:val="28"/>
        </w:rPr>
        <w:t>第一，信息公开制度不完善。由于不存在广泛的社会信用体系，民政部门对救助申请者所提供信息的核查成为一项复杂的工作，信息不对称问题普遍存在。一些生活在最低生活保障线以下的家庭，碍于面子，心理压力大而隐瞒自己贫困的信息；还有一些非低收入家庭通过谎报、瞒报信息以骗取政府资助。</w:t>
      </w:r>
    </w:p>
    <w:p w:rsidR="009D0665" w:rsidRPr="00B120CE" w:rsidRDefault="009D0665" w:rsidP="009D0665">
      <w:pPr>
        <w:pStyle w:val="a3"/>
        <w:rPr>
          <w:rFonts w:ascii="Times New Roman" w:hAnsi="Times New Roman" w:hint="eastAsia"/>
          <w:sz w:val="28"/>
          <w:szCs w:val="28"/>
        </w:rPr>
      </w:pPr>
      <w:r w:rsidRPr="00B120CE">
        <w:rPr>
          <w:rFonts w:ascii="Times New Roman" w:hAnsi="Times New Roman" w:hint="eastAsia"/>
          <w:sz w:val="28"/>
          <w:szCs w:val="28"/>
        </w:rPr>
        <w:t>第二，现有的机制设计难以对相关工作人员形成有效激励，工作人员的不作为、人情、腐败都会造成救助瞄准出现偏离。在实际操作中，相关部门出具虚假证明、人情证明的现象比比皆是。</w:t>
      </w:r>
    </w:p>
    <w:p w:rsidR="009D0665" w:rsidRPr="00B120CE" w:rsidRDefault="009D0665" w:rsidP="009D0665">
      <w:pPr>
        <w:pStyle w:val="a3"/>
        <w:rPr>
          <w:rFonts w:ascii="Times New Roman" w:hAnsi="Times New Roman" w:hint="eastAsia"/>
          <w:sz w:val="28"/>
          <w:szCs w:val="28"/>
        </w:rPr>
      </w:pPr>
      <w:r w:rsidRPr="00B120CE">
        <w:rPr>
          <w:rFonts w:ascii="Times New Roman" w:hAnsi="Times New Roman" w:hint="eastAsia"/>
          <w:sz w:val="28"/>
          <w:szCs w:val="28"/>
        </w:rPr>
        <w:t>第三，居民隐性收入增大了收入核查的难度。调查人手不够，调查手段落后，与就业部门、银行等衔接不畅等问题的存在，使许多收入高于最低生活保障标准的家庭却得到了救助。</w:t>
      </w:r>
    </w:p>
    <w:p w:rsidR="009D0665" w:rsidRPr="00B120CE" w:rsidRDefault="009D0665" w:rsidP="009D0665">
      <w:pPr>
        <w:pStyle w:val="a3"/>
        <w:rPr>
          <w:rFonts w:ascii="Times New Roman" w:hAnsi="Times New Roman" w:hint="eastAsia"/>
          <w:sz w:val="28"/>
          <w:szCs w:val="28"/>
        </w:rPr>
      </w:pPr>
      <w:r w:rsidRPr="00B120CE">
        <w:rPr>
          <w:rFonts w:ascii="Times New Roman" w:hAnsi="Times New Roman" w:hint="eastAsia"/>
          <w:sz w:val="28"/>
          <w:szCs w:val="28"/>
        </w:rPr>
        <w:t>第四，我国的各类社会救助项目，不仅部门分割，而且各系统内部存在机构重复，而不同系统、机构之间往往不仅不能形成合力，反而互相掣肘，严重损害了公共服务的效率。</w:t>
      </w:r>
    </w:p>
    <w:p w:rsidR="009D0665" w:rsidRPr="00B120CE" w:rsidRDefault="009D0665" w:rsidP="009D0665">
      <w:pPr>
        <w:pStyle w:val="a3"/>
        <w:rPr>
          <w:rFonts w:ascii="Times New Roman" w:hAnsi="Times New Roman" w:hint="eastAsia"/>
          <w:sz w:val="28"/>
          <w:szCs w:val="28"/>
        </w:rPr>
      </w:pPr>
      <w:r w:rsidRPr="00B120CE">
        <w:rPr>
          <w:rFonts w:ascii="Times New Roman" w:hAnsi="Times New Roman" w:hint="eastAsia"/>
          <w:sz w:val="28"/>
          <w:szCs w:val="28"/>
        </w:rPr>
        <w:t>第五，退出机制不完善。在民政部门实施救助过程中，当低收入</w:t>
      </w:r>
      <w:r w:rsidRPr="00B120CE">
        <w:rPr>
          <w:rFonts w:ascii="Times New Roman" w:hAnsi="Times New Roman" w:hint="eastAsia"/>
          <w:sz w:val="28"/>
          <w:szCs w:val="28"/>
        </w:rPr>
        <w:lastRenderedPageBreak/>
        <w:t>者被纳入救助范围后，民政部门的审查就变得宽松，很少去了解低收入者生活状况的变化，造成一些本应退出救助范围的居民，仍然占据着救助资源，影响救助资金的使用效率。</w:t>
      </w:r>
    </w:p>
    <w:p w:rsidR="009D0665" w:rsidRPr="00D56C15" w:rsidRDefault="009D0665" w:rsidP="009D0665">
      <w:pPr>
        <w:pStyle w:val="a3"/>
        <w:rPr>
          <w:rFonts w:ascii="Times New Roman" w:hAnsi="Times New Roman" w:hint="eastAsia"/>
          <w:b/>
          <w:sz w:val="28"/>
          <w:szCs w:val="28"/>
        </w:rPr>
      </w:pPr>
      <w:r>
        <w:rPr>
          <w:rFonts w:ascii="Times New Roman" w:hAnsi="Times New Roman" w:hint="eastAsia"/>
          <w:b/>
          <w:sz w:val="28"/>
          <w:szCs w:val="28"/>
        </w:rPr>
        <w:t>三</w:t>
      </w:r>
      <w:r w:rsidRPr="00D56C15">
        <w:rPr>
          <w:rFonts w:ascii="Times New Roman" w:hAnsi="Times New Roman" w:hint="eastAsia"/>
          <w:b/>
          <w:sz w:val="28"/>
          <w:szCs w:val="28"/>
        </w:rPr>
        <w:t>、本次调查计划采用的调查方式</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综上所述，项目组认为：鉴于项目时间、经费等各方面的限制，本系列调查采用问卷调查的方式进行调查，具体采用入户面访的方式采集数据。</w:t>
      </w:r>
    </w:p>
    <w:p w:rsidR="009D0665" w:rsidRDefault="009D0665" w:rsidP="009D0665">
      <w:pPr>
        <w:pStyle w:val="a3"/>
        <w:rPr>
          <w:rFonts w:ascii="Times New Roman" w:hAnsi="Times New Roman" w:hint="eastAsia"/>
          <w:sz w:val="28"/>
          <w:szCs w:val="28"/>
        </w:rPr>
      </w:pPr>
      <w:r>
        <w:rPr>
          <w:rFonts w:ascii="Times New Roman" w:hAnsi="Times New Roman" w:hint="eastAsia"/>
          <w:sz w:val="28"/>
          <w:szCs w:val="28"/>
        </w:rPr>
        <w:t>为了保证本次调查数据的公正、客观，本次调查计划在问卷设计、收入数据验证方面做出更严谨的设计（具体设计方案见问卷设计与数据验证）。</w:t>
      </w:r>
    </w:p>
    <w:p w:rsidR="001E6E3C" w:rsidRPr="009D0665" w:rsidRDefault="001E6E3C"/>
    <w:sectPr w:rsidR="001E6E3C" w:rsidRPr="009D06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66" w:rsidRDefault="00817F66" w:rsidP="009D0665">
      <w:r>
        <w:separator/>
      </w:r>
    </w:p>
  </w:endnote>
  <w:endnote w:type="continuationSeparator" w:id="0">
    <w:p w:rsidR="00817F66" w:rsidRDefault="00817F66" w:rsidP="009D0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66" w:rsidRDefault="00817F66" w:rsidP="009D0665">
      <w:r>
        <w:separator/>
      </w:r>
    </w:p>
  </w:footnote>
  <w:footnote w:type="continuationSeparator" w:id="0">
    <w:p w:rsidR="00817F66" w:rsidRDefault="00817F66" w:rsidP="009D0665">
      <w:r>
        <w:continuationSeparator/>
      </w:r>
    </w:p>
  </w:footnote>
  <w:footnote w:id="1">
    <w:p w:rsidR="009D0665" w:rsidRPr="009403DD" w:rsidRDefault="009D0665" w:rsidP="009D0665">
      <w:pPr>
        <w:rPr>
          <w:sz w:val="15"/>
          <w:szCs w:val="15"/>
        </w:rPr>
      </w:pPr>
      <w:r>
        <w:rPr>
          <w:rStyle w:val="a5"/>
        </w:rPr>
        <w:footnoteRef/>
      </w:r>
      <w:r>
        <w:t xml:space="preserve"> </w:t>
      </w:r>
      <w:r w:rsidRPr="009403DD">
        <w:rPr>
          <w:rFonts w:ascii="Cambria Math" w:hAnsi="Cambria Math"/>
          <w:sz w:val="15"/>
          <w:szCs w:val="15"/>
        </w:rPr>
        <w:b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1pt;height:29.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defaultTabStop w:val=&quot;720&quot;/&gt;&lt;w:punctuationKerning/&gt;&lt;w:characterSpacingControl w:val=&quot;DontCompress&quot;/&gt;&lt;w:noLineBreaksAfter w:lang=&quot;ZH-CN&quot; w:val=&quot;$([{拢楼路鈥樷€溿€堛€娿€屻€庛€愩€斻€栥€濓箼锕涳節锛勶紙锛庯蓟锝涳俊锟?/&gt;&lt;w:noLineBreaksBefoSurroundHeader/&gt;&lt;w:bordersDonurroundHeader/&gt;&lt;w:bordersDonurroundHeader/&gt;&lt;w:bordersDonurroundHeader/&gt;&lt;w:bordersDonre w:lang=&quot;ZH-CN&quot; w:val=&quot;!%),.:;&amp;gt;?]}垄篓掳路藝藟鈥曗€栤€欌€濃€︹€扳€测€斥€衡剝鈭躲€併€傘€冦€夈€嬨€嶃€忋€戙€曘€椼€烇付锔猴妇锕€锕勶箽锕滐篂锛侊紓锛咃紘锛夛紝锛庯細锛涳紵蓟锝涳俊锟?/&gt;&lt;w:noLineBreaksBefoSurroundHeader/&gt;&lt;w:bordersDon锛斤絸锝滐綕锝烇繝&quot;/&gt;&lt;w:opti箼锕涳節锛勶紙锛庯蓟锝涳俊锟?/&gt;&lt;w:noLineBreaksBefoSurroundHeader/&gt;&lt;w:bordersDonmizeForBrowser/&gt;&lt;w:validateA箼锕涳節锛勶紙锛庯蓟锝涳俊锟?/&gt;&lt;w:noLineBreaksBefoSurroundHeader/&gt;&lt;w:bordersDongainstSchema/&gt;&lt;w:saveInvalid箼锕涳節锛勶?LineBreaksBefoSurroundHeader/&gt;&lt;w:bordersDon堬紟锛伙經锟★?/&gt;&lt;w:noLineBreaksBefoSurroundHeader/&gt;&lt;w:bordersDonXML w:val=&quot;off&quot;/&gt;&lt;w:ignoreMixedContent w:urroundHeader/&gt;&lt;w:bordersDonval=&quot;off&quot;/&gt;&lt;w:alwaysShowPlaceholderText w:val=&quot;off&quot;/&gt;&lt;w:compat&gt;&lt;w:breakWrappedTables/&gt;&lt;w:snapToGridInCell/&gt;&gt;&lt;w:bordersDordersDonn&lt;w:wrapTextWithPunct/&gt;&lt;w:useAsianBreakRules/&gt;&lt;w:dontGrowAutofit/&gt;&lt;w:useFELayout/&gt;&lt;/w:compat&gt;&lt;wsp:rsids&gt;&lt;wsp:rsidRoot wsp:val=&quot;000D4925&quot;/&gt;&lt;wsp:rsid wsp:val=&quot;00024C54&quot;/&gt;&lt;wsp:rsid wsp:val=&quot;00077C76&quot;/&gt;&lt;wsp:rsid wsp:val=&quot;0008100C&quot;/&gt;&lt;wsp:rsid wsp:val=&quot;000D4925&quot;/&gt;&lt;wsp:rsid wsp:val=&quot;000F1886&quot;/&gt;&lt;wsp:rsid wsp:val=&quot;001A5F97&quot;/&gt;&lt;wsp:rsid wsp:val=&quot;001E6CEC&quot;/&gt;&lt;wsp:rsid wsp:val=&quot;00207406&quot;/&gt;&lt;wsp:rsid wsp:val=&quot;00213AD9&quot;/&gt;&lt;wsp:rsid wsp:val=&quot;0027370F&quot;/&gt;&lt;wsp:rsid wsp:val=&quot;002C18D4&quot;/&gt;&lt;wsp:rsid wsp:val=&quot;00323B43&quot;/&gt;&lt;wsp:rsid wsp:val=&quot;0038463E&quot;/&gt;&lt;wsp:rsid wsp:val=&quot;003D37D8&quot;/&gt;&lt;wsp:rsid wsp:val=&quot;004358AB&quot;/&gt;&lt;wsp:rsid wsp:val=&quot;00491A1C&quot;/&gt;&lt;wsp:rsid wsp:val=&quot;004B0611&quot;/&gt;&lt;wsp:rsid wsp:val=&quot;004B5196&quot;/&gt;&lt;wsp:rsid wsp:val=&quot;0055207E&quot;/&gt;&lt;wsp:rsid wsp:val=&quot;005E6E7D&quot;/&gt;&lt;wsp:rsid wsp:val=&quot;00645BD8&quot;/&gt;&lt;wsp:rsid wsp:val=&quot;00667769&quot;/&gt;&lt;wsp:rsid wsp:val=&quot;00670E93&quot;/&gt;&lt;wsp:rsid wsp:val=&quot;00747832&quot;/&gt;&lt;wsp:rsid wsp:val=&quot;00761629&quot;/&gt;&lt;wsp:rsid wsp:val=&quot;007812D4&quot;/&gt;&lt;wsp:rsid wsp:val=&quot;00797A44&quot;/&gt;&lt;wsp:rsid wsp:val=&quot;007A6638&quot;/&gt;&lt;wsp:rsid wsp:val=&quot;00897F20&quot;/&gt;&lt;wsp:rsid wsp:val=&quot;008B7726&quot;/&gt;&lt;wsp:rsid wsp:val=&quot;008D0B2B&quot;/&gt;&lt;wsp:rsid wsp:val=&quot;009338BE&quot;/&gt;&lt;wsp:rsid wsp:val=&quot;009403DD&quot;/&gt;&lt;wsp:rsid wsp:val=&quot;00964103&quot;/&gt;&lt;wsp:rsid wsp:val=&quot;00964809&quot;/&gt;&lt;wsp:rsid wsp:val=&quot;00975701&quot;/&gt;&lt;wsp:rsid wsp:val=&quot;009E2D25&quot;/&gt;&lt;wsp:rsid wsp:val=&quot;00B2382A&quot;/&gt;&lt;wsp:rsid wsp:val=&quot;00B411CC&quot;/&gt;&lt;wsp:rsid wsp:val=&quot;00B45612&quot;/&gt;&lt;wsp:rsid wsp:val=&quot;00B8199E&quot;/&gt;&lt;wsp:rsid wsp:val=&quot;00B93B27&quot;/&gt;&lt;wsp:rsid wsp:val=&quot;00BB61FC&quot;/&gt;&lt;wsp:rsid wsp:val=&quot;00BB742D&quot;/&gt;&lt;wsp:rsid wsp:val=&quot;00C64A93&quot;/&gt;&lt;wsp:rsid wsp:val=&quot;00C92201&quot;/&gt;&lt;wsp:rsid wsp:val=&quot;00CD47FB&quot;/&gt;&lt;wsp:rsid wsp:val=&quot;00D16FE3&quot;/&gt;&lt;wsp:rsid wsp:val=&quot;00D412B9&quot;/&gt;&lt;wsp:rsid wsp:val=&quot;00D741A6&quot;/&gt;&lt;wsp:rsid wsp:val=&quot;00DF0426&quot;/&gt;&lt;wsp:rsid wsp:val=&quot;00E23175&quot;/&gt;&lt;wsp:rsid wsp:val=&quot;00E5560E&quot;/&gt;&lt;wsp:rsid wsp:val=&quot;00E57793&quot;/&gt;&lt;wsp:rsid wsp:val=&quot;00F85091&quot;/&gt;&lt;wsp:rsid wsp:val=&quot;00FD7EB6&quot;/&gt;&lt;/wsp:rsids&gt;&lt;/w:docPr&gt;&lt;w:body&gt;&lt;wx:sect&gt;&lt;w:p wsp:rsidR=&quot;00000000&quot; wsp:rsidRPr=&quot;00761629&quot; wsp:rsidRDefault=&quot;00761629&quot; wsp:rsidP=&quot;00761629&quot;&gt;&lt;m:oMathPara&gt;&lt;m:oMath&gt;&lt;m:r&gt;&lt;m:rPr&gt;&lt;m:sty m:val=&quot;p&quot;/&gt;&lt;/m:rPr&gt;&lt;w:rPr&gt;&lt;w:rFonts w:ascii=&quot;Cambria Math&quot; w:h-ansi=&quot;Cambria Math&quot;/&gt;&lt;wx:font wx:val=&quot;寰蒋闆呴粦&quot;/&gt;&lt;w:sz w:val=&quot;15&quot;/&gt;&lt;w:sz-cs w:val=&quot;15rsidRP&quot;/&gt;&lt;/w:rPr&gt;&lt;m:t&gt;鎸ゅ?idRDefau虹?/m:t&gt;&lt;/m:r&gt;&lt;m:r&gt;&lt;m:rPr&gt;&lt;m:sty m:val=&quot;p&quot;/&gt;&lt;/m:rPr&gt;&lt;w:rPr&gt;&lt;w:rFonts w:ascii=&quot;Cambria Math&quot; w:h-ansi=&quot;Cambria Ma w:ascii=th&quot;/&gt;&lt;wx w:ascii=&quot;:font wx:val=&quot;Cambria Math&quot;/&gt;&lt;w:sz w:val=&quot;15&quot;/&gt;&lt;w:sz-cs w:val=&quot;15&quot;/&gt;&lt;/w:rPr&gt;&lt;m:t&gt;=&lt;/m:t&gt;&lt;/m:r&gt;&lt;m:f&gt;&lt;m:fPr&gt;&lt;m:ctrsidRPlPr&gt;&lt;w:aurPr&gt;&lt;w:rFonts w:ascii=&quot;Cambria Math&quot; w:fareast=&quot;瀹嬩綋&quot; w:h-ansi=&quot;Cambria Math&quot;/&gt;&lt;wx:font wx:val=&quot;Cambria Math&quot;ii=/&gt;&lt;w:kern w:val=&quot;2&quot;/i=&quot;&gt;&lt;w:sz w:val=&quot;15&quot;/&gt;&lt;w:sz-cs w:val=&quot;15&quot;/&gt;&lt;/w:rPr&gt;&lt;/m:ctrlPr&gt;&lt;/m:fPr&gt;&lt;m:num&gt;&lt;m:r&gt;&lt;m:rPr&gt;&lt;m:sty m:val=&quot;p&quot;/&gt;&lt;/m:rPr&gt;&lt;w:rPdRPr:au&gt;&lt;w:rFonts w:ascii=&quot;Cambria Math&quot; w:h-ansi=&quot;Cambria Math&quot;/&gt;&lt;wx:font wx:val=&quot;寰蒋闆呴粦&quot;/&gt;&lt;w:sz w:val=&quot;15&quot;/th&quot;ii=&gt;&lt;w:sz-cs w:val=&quot;15&quot;/&gt;&lt;/w:2&quot;/i=&quot;rPr&gt;&lt;m:t&gt;娌℃湁鑾峰緱淇濋殰鐨勭洰鏍囧搴暟&lt;/m:t&gt;&lt;/m:r&gt;&lt;/m:num&gt;&lt;m:den&gt;&lt;m:r&gt;&lt;m:rPr&gt;&lt;m:sty m:val=&quot;p&quot;/&gt;&lt;/m:rPr&gt;&lt;w:rPp&quot;/&gt;&lt;/m:rPr&gt;&lt;w:rPdRPr:aur&gt;&lt;w:al=&quot;p&quot;/&gt;&lt;/m:rPr&gt;&lt;w:rPdRPrFonts w:ascii=&quot;Cambria Math&quot; w:h-ansi=&quot;Cambria Math&quot;/&gt; w:val=&quot;15&quot;/th&quot;ii=&lt;wx:font wx:val=&quot;寰蒋闆呴粦&quot;/&gt;&lt;w:sz w:val=&quot;15&quot;/&gt;&lt;w:sz-s w:val=&quot;15&quot;/&gt;&lt;/w:2&quot;/i=&quot;cs w:val=&quot;15&quot;/&gt;&lt;/w:rPr&gt;&lt;m:t&gt;鐩爣瀹跺涵鎬绘暟&lt;/m:t&gt;&lt;/m:r&gt;&lt;/m:den&gt;&lt;/m:f&gt;&lt;/m:oMath&gt;&lt;/m:oMathPr&gt;&lt;w:rPdRPr:auPara&gt;&lt;/w:p&gt;&lt;w:sectPr wsp:rsidR=&quot;00000000&quot; wsp:rsidRPr/m:rPr&gt;&lt;w:rPdRP=val=&quot;15&quot;/th&quot;ii=&quot;00761629&quot;&gt;&lt;w:pgSz w:w=&quot;12240&quot; w:h=&quot;15840&quot;/&gt;&lt;w:pgMar w:top=&quot;1440&quot; w:right=&quot;1800&quot; w:bottom=&quot;1440/w:2&quot;/i=&quot;&quot; w:left=&quot;1800&quot; w:header=&quot;720&quot; w:footer=&quot;720&quot; w:gutter=&quot;0&quot;/&gt;&lt;w:cols w:space=&quot;720&quot;/&gt;&lt;/w:sectPr&gt;&lt;/wx:sect&gt;&lt;/w:body&gt;&lt;/w:wordDocument&gt;">
            <v:imagedata r:id="rId1" o:title="" chromakey="white"/>
          </v:shape>
        </w:pict>
      </w:r>
    </w:p>
  </w:footnote>
  <w:footnote w:id="2">
    <w:p w:rsidR="009D0665" w:rsidRPr="009403DD" w:rsidRDefault="009D0665" w:rsidP="009D0665">
      <w:pPr>
        <w:rPr>
          <w:sz w:val="15"/>
          <w:szCs w:val="15"/>
        </w:rPr>
      </w:pPr>
      <w:r>
        <w:rPr>
          <w:rStyle w:val="a5"/>
        </w:rPr>
        <w:footnoteRef/>
      </w:r>
      <w:r>
        <w:t xml:space="preserve"> </w:t>
      </w:r>
      <w:r w:rsidRPr="009403DD">
        <w:rPr>
          <w:rFonts w:ascii="Cambria Math" w:hAnsi="Cambria Math"/>
          <w:sz w:val="15"/>
          <w:szCs w:val="15"/>
        </w:rPr>
        <w:br/>
      </w:r>
      <w:r>
        <w:pict>
          <v:shape id="_x0000_i1026" type="#_x0000_t75" style="width:114.6pt;height:29.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defaultTabStop w:val=&quot;720&quot;/&gt;&lt;w:punctuationKerning/&gt;&lt;w:characterSpacingControl w:val=&quot;DontCompress&quot;/&gt;&lt;w:noLineBreaksAfter w:lang=&quot;ZH-CN&quot; w:val=&quot;$([{拢楼路鈥樷€溿€堛€娿€屻€庛€愩€斻€栥€濓箼锕涳節锛勶紙锛庯蓟锝涳俊锟?/&gt;&lt;w:noLineBreaksBefoSurroundHeader/&gt;&lt;w:bordersDonurroundHeader/&gt;&lt;w:bordersDonurroundHeader/&gt;&lt;w:bordersDonurroundHeader/&gt;&lt;w:bordersDonre w:lang=&quot;ZH-CN&quot; w:val=&quot;!%),.:;&amp;gt;?]}垄篓掳路藝藟鈥曗€栤€欌€濃€︹€扳€测€斥€衡剝鈭躲€併€傘€冦€夈€嬨€嶃€忋€戙€曘€椼€烇付锔猴妇锕€锕勶箽锕滐篂锛侊紓锛咃紘锛夛紝锛庯細锛涳紵蓟锝涳俊锟?/&gt;&lt;w:noLineBreaksBefoSurroundHeader/&gt;&lt;w:bordersDon锛斤絸锝滐綕锝烇繝&quot;/&gt;&lt;w:opti箼锕涳節锛勶紙锛庯蓟锝涳俊锟?/&gt;&lt;w:noLineBreaksBefoSurroundHeader/&gt;&lt;w:bordersDonmizeForBrowser/&gt;&lt;w:validateA箼锕涳節锛勶紙锛庯蓟锝涳俊锟?/&gt;&lt;w:noLineBreaksBefoSurroundHeader/&gt;&lt;w:bordersDongainstSchema/&gt;&lt;w:saveInvalid箼锕涳節锛勶?LineBreaksBefoSurroundHeader/&gt;&lt;w:bordersDon堬紟锛伙經锟★?/&gt;&lt;w:noLineBreaksBefoSurroundHeader/&gt;&lt;w:bordersDonXML w:val=&quot;off&quot;/&gt;&lt;w:ignoreMixedContent w:urroundHeader/&gt;&lt;w:bordersDonval=&quot;off&quot;/&gt;&lt;w:alwaysShowPlaceholderText w:val=&quot;off&quot;/&gt;&lt;w:compat&gt;&lt;w:breakWrappedTables/&gt;&lt;w:snapToGridInCell/&gt;&gt;&lt;w:bordersDordersDonn&lt;w:wrapTextWithPunct/&gt;&lt;w:useAsianBreakRules/&gt;&lt;w:dontGrowAutofit/&gt;&lt;w:useFELayout/&gt;&lt;/w:compat&gt;&lt;wsp:rsids&gt;&lt;wsp:rsidRoot wsp:val=&quot;000D4925&quot;/&gt;&lt;wsp:rsid wsp:val=&quot;00024C54&quot;/&gt;&lt;wsp:rsid wsp:val=&quot;00077C76&quot;/&gt;&lt;wsp:rsid wsp:val=&quot;0008100C&quot;/&gt;&lt;wsp:rsid wsp:val=&quot;000D4925&quot;/&gt;&lt;wsp:rsid wsp:val=&quot;000F1886&quot;/&gt;&lt;wsp:rsid wsp:val=&quot;001A5F97&quot;/&gt;&lt;wsp:rsid wsp:val=&quot;001E6CEC&quot;/&gt;&lt;wsp:rsid wsp:val=&quot;00207406&quot;/&gt;&lt;wsp:rsid wsp:val=&quot;00213AD9&quot;/&gt;&lt;wsp:rsid wsp:val=&quot;0027370F&quot;/&gt;&lt;wsp:rsid wsp:val=&quot;002C18D4&quot;/&gt;&lt;wsp:rsid wsp:val=&quot;00323B43&quot;/&gt;&lt;wsp:rsid wsp:val=&quot;0038463E&quot;/&gt;&lt;wsp:rsid wsp:val=&quot;003D37D8&quot;/&gt;&lt;wsp:rsid wsp:val=&quot;004358AB&quot;/&gt;&lt;wsp:rsid wsp:val=&quot;00491A1C&quot;/&gt;&lt;wsp:rsid wsp:val=&quot;004B0611&quot;/&gt;&lt;wsp:rsid wsp:val=&quot;004B5196&quot;/&gt;&lt;wsp:rsid wsp:val=&quot;0055207E&quot;/&gt;&lt;wsp:rsid wsp:val=&quot;005E6E7D&quot;/&gt;&lt;wsp:rsid wsp:val=&quot;00645BD8&quot;/&gt;&lt;wsp:rsid wsp:val=&quot;00667769&quot;/&gt;&lt;wsp:rsid wsp:val=&quot;00670E93&quot;/&gt;&lt;wsp:rsid wsp:val=&quot;00747832&quot;/&gt;&lt;wsp:rsid wsp:val=&quot;007812D4&quot;/&gt;&lt;wsp:rsid wsp:val=&quot;00797A44&quot;/&gt;&lt;wsp:rsid wsp:val=&quot;007A6638&quot;/&gt;&lt;wsp:rsid wsp:val=&quot;008335BB&quot;/&gt;&lt;wsp:rsid wsp:val=&quot;00897F20&quot;/&gt;&lt;wsp:rsid wsp:val=&quot;008B7726&quot;/&gt;&lt;wsp:rsid wsp:val=&quot;008D0B2B&quot;/&gt;&lt;wsp:rsid wsp:val=&quot;009338BE&quot;/&gt;&lt;wsp:rsid wsp:val=&quot;009403DD&quot;/&gt;&lt;wsp:rsid wsp:val=&quot;00964103&quot;/&gt;&lt;wsp:rsid wsp:val=&quot;00964809&quot;/&gt;&lt;wsp:rsid wsp:val=&quot;00975701&quot;/&gt;&lt;wsp:rsid wsp:val=&quot;009E2D25&quot;/&gt;&lt;wsp:rsid wsp:val=&quot;00B2382A&quot;/&gt;&lt;wsp:rsid wsp:val=&quot;00B411CC&quot;/&gt;&lt;wsp:rsid wsp:val=&quot;00B45612&quot;/&gt;&lt;wsp:rsid wsp:val=&quot;00B8199E&quot;/&gt;&lt;wsp:rsid wsp:val=&quot;00B93B27&quot;/&gt;&lt;wsp:rsid wsp:val=&quot;00BB61FC&quot;/&gt;&lt;wsp:rsid wsp:val=&quot;00BB742D&quot;/&gt;&lt;wsp:rsid wsp:val=&quot;00C64A93&quot;/&gt;&lt;wsp:rsid wsp:val=&quot;00C92201&quot;/&gt;&lt;wsp:rsid wsp:val=&quot;00CD47FB&quot;/&gt;&lt;wsp:rsid wsp:val=&quot;00D16FE3&quot;/&gt;&lt;wsp:rsid wsp:val=&quot;00D412B9&quot;/&gt;&lt;wsp:rsid wsp:val=&quot;00D741A6&quot;/&gt;&lt;wsp:rsid wsp:val=&quot;00DF0426&quot;/&gt;&lt;wsp:rsid wsp:val=&quot;00E23175&quot;/&gt;&lt;wsp:rsid wsp:val=&quot;00E5560E&quot;/&gt;&lt;wsp:rsid wsp:val=&quot;00E57793&quot;/&gt;&lt;wsp:rsid wsp:val=&quot;00F85091&quot;/&gt;&lt;wsp:rsid wsp:val=&quot;00FD7EB6&quot;/&gt;&lt;/wsp:rsids&gt;&lt;/w:docPr&gt;&lt;w:body&gt;&lt;wx:sect&gt;&lt;w:p wsp:rsidR=&quot;00000000&quot; wsp:rsidRPr=&quot;008335BB&quot; wsp:rsidRDefault=&quot;008335BB&quot; wsp:rsidP=&quot;008335BB&quot;&gt;&lt;m:oMathPara&gt;&lt;m:oMath&gt;&lt;m:r&gt;&lt;m:rPr&gt;&lt;m:sty m:val=&quot;p&quot;/&gt;&lt;/m:rPr&gt;&lt;w:rPr&gt;&lt;w:rFonts w:ascii=&quot;Cambria Math&quot; w:h-ansi=&quot;Cambria Math&quot;/&gt;&lt;wx:font wx:val=&quot;寰蒋闆呴粦&quot;/&gt;&lt;w:sz w:val=&quot;15&quot;/&gt;&lt;w:sz-cs w:val=&quot;15rsidRP&quot;/&gt;&lt;/w:rPr&gt;&lt;m:t&gt;婕忔?idRDefau熺?/m:t&gt;&lt;/m:r&gt;&lt;m:r&gt;&lt;m:rPr&gt;&lt;m:sty m:val=&quot;p&quot;/&gt;&lt;/m:rPr&gt;&lt;w:rPr&gt;&lt;w:rFonts w:ascii=&quot;Cambria Math&quot; w:h-ansi=&quot;Cambria Ma w:ascii=th&quot;/&gt;&lt;wx w:ascii=&quot;:font wx:val=&quot;Cambria Math&quot;/&gt;&lt;w:sz w:val=&quot;15&quot;/&gt;&lt;w:sz-cs w:val=&quot;15&quot;/&gt;&lt;/w:rPr&gt;&lt;m:t&gt;=&lt;/m:t&gt;&lt;/m:r&gt;&lt;m:f&gt;&lt;m:fPr&gt;&lt;m:ctrsidRPlPr&gt;&lt;w:aurPr&gt;&lt;w:rFonts w:ascii=&quot;Cambria Math&quot; w:fareast=&quot;瀹嬩綋&quot; w:h-ansi=&quot;Cambria Math&quot; w:cs=&quot;Times New Roman&quot;/&gt;&lt;wx:fonii=t wx:val=&quot;Cambria Mai=&quot;th&quot;/&gt;&lt;w:kern w:val=&quot;2&quot;/&gt;&lt;w:sz w:val=&quot;15&quot;/&gt;&lt;w:sz-cs w:val=&quot;15&quot;/&gt;&lt;/w:rPr&gt;&lt;/m:ctrlPr&gt;&lt;/m:fPr&gt;&lt;m:num&gt;&lt;m:r&gt;&lt;m:rPr&gt;&lt;m:sty mdRP::auval=&quot;p&quot;/&gt;&lt;/m:rPr&gt;&lt;w:rPr&gt;&lt;w:rFonts w:ascii=&quot;Cambria Math&quot; w:h-ansi=&quot;Cambria Math&quot;/&gt;&lt;wx:font wx:val=&quot;寰蒋闆?nii=榛?/&gt;&lt;w:sz w:val=&quot;15&quot;/&gt;&lt;w Mai=&quot;:sz-cs w:val=&quot;15&quot;/&gt;&lt;/w:rPr&gt;&lt;m:t&gt;鑾峰緱淇濋殰鐨?/m:t&gt;&lt;/m:r&gt;&lt;m:r&gt;&lt;m:rPr&gt;&lt;m:sty m:val=&quot;p&quot;/&gt;&lt;/m:rPr&gt;&lt;w:rPr&gt;&lt;w:rFonts w::sty mdRP::auasciPr&gt;&lt;m:sty mdRPi=&quot;Cambria Math&quot; w:h-ansi=&quot;Cambria Math&quot;/&gt;&lt;wx:font wx:val=&quot;寰蒋闆呴粦&quot;/&gt;&lt;w::val=&quot;寰蒋闆?nii=sz w:val=&quot;15&quot;/&gt;&lt;w:sz-cs w:val=&quot;15&quot;/&gt;&lt;/w:rPr&gt;&lt;15&quot;/&gt;&lt;w Mai=&quot;m:t&gt;闈?/m:t&gt;&lt;/m:r&gt;&lt;m:r&gt;&lt;m:rPr&gt;&lt;m:sty m:val=&quot;p&quot;/&gt;&lt;/m:rPr&gt;&lt;w:rPr&gt;&lt;w:rFonts w:ascii=&quot;Cambria Math&quot; w:h-andRP::ausi=&quot;Cambria Math&quot;/&gt;&lt;wx:font wxsty mdRP:val=&quot;寰蒋闆呴粦&quot;/&gt;&lt;w:sz w:val=&quot;15&quot;/&gt;&lt;w:sz-cs w:蒋闆?nii=val=&quot;15&quot;/&gt;&lt;/w:rPr&gt;&lt;m:t&gt;鐩爣瀹跺涵鏁?/m:t&gt;&lt;/m:r&gt;&lt;/m:num&gt;&lt;m:den&gt;&lt;&lt;15&quot;/&gt;&lt;w Mai=&quot;m:r&gt;&lt;m:rPr&gt;&lt;m:sty m:val=&quot;p&quot;/&gt;&lt;/m:rPr&gt;&lt;w:rPr&gt;&lt;w:rFonts w:ascii=&quot;Cambria Math&quot; w:h-ansi=&quot;Cw:h-andRP::auambria Math&quot;/&gt;&lt;wx:font wx:val=&quot;寰蒋闆呴粦&quot;/&gt;&lt;w:sz&gt;&lt;wx:font wxsty mdRP w:v-cs w:蒋闆?nii=al=&quot;15&quot;/&gt;&lt;w:sz-cs w:val=&quot;15&quot;/&gt;&lt;/w:rPr&gt;&lt;m:t&gt;鐩爣瀹跺涵鎬绘暟&lt;/m:t&gt;&lt;/m:r&gt;&lt;/m:den&gt;&lt;/m:f&gt;&lt;/m:o&lt;&lt;15&quot;/&gt;&lt;w Mai=&quot;Math&gt;&lt;/m:oMathPara&gt;&lt;/w:p&gt;&lt;w:sectPr wsp:rsidR=&quot;00000000&quot; wsp:rsidRPr=&quot;0083&quot;Cw:h-andRP::au35BB&quot;&gt;&lt;w:pgSz w:w=&quot;12240&quot; w:h=&quot;15840&quot;/&gt;&lt;w:pgMar w:top=&quot;1440&quot;w:蒋闆?nii= w:right=&quot;1800&quot; w:bottom=&quot;xsty mdRP1440&quot; w:left=&quot;1800&quot; w:header=&quot;720&quot; w:footer=&quot;720&quot; w:gutter=&quot;0&quot;/&gt;&lt;w:cols w:space=&quot;720&quot;/&gt;&lt;/w:sectPr&gt;&lt;/wx:sect&gt;&lt;/w:body&gt;&lt;/w:wordDocument&gt;">
            <v:imagedata r:id="rId2" o:title="" chromakey="white"/>
          </v:shape>
        </w:pict>
      </w:r>
    </w:p>
  </w:footnote>
  <w:footnote w:id="3">
    <w:p w:rsidR="009D0665" w:rsidRPr="009403DD" w:rsidRDefault="009D0665" w:rsidP="009D0665">
      <w:pPr>
        <w:spacing w:line="220" w:lineRule="atLeast"/>
        <w:ind w:left="420" w:hangingChars="200" w:hanging="420"/>
        <w:rPr>
          <w:rFonts w:ascii="宋体" w:hAnsi="宋体"/>
          <w:b/>
          <w:sz w:val="18"/>
          <w:szCs w:val="18"/>
        </w:rPr>
      </w:pPr>
      <w:r>
        <w:rPr>
          <w:rStyle w:val="a5"/>
        </w:rPr>
        <w:footnoteRef/>
      </w:r>
      <w:r>
        <w:rPr>
          <w:rFonts w:ascii="宋体" w:hAnsi="宋体" w:hint="eastAsia"/>
          <w:sz w:val="18"/>
          <w:szCs w:val="18"/>
        </w:rPr>
        <w:t xml:space="preserve"> </w:t>
      </w:r>
      <w:r w:rsidRPr="009403DD">
        <w:rPr>
          <w:rFonts w:ascii="宋体" w:hAnsi="宋体" w:hint="eastAsia"/>
          <w:sz w:val="18"/>
          <w:szCs w:val="18"/>
        </w:rPr>
        <w:t>汪廷美</w:t>
      </w:r>
      <w:r w:rsidRPr="009403DD">
        <w:rPr>
          <w:rFonts w:ascii="宋体" w:hAnsi="宋体"/>
          <w:sz w:val="18"/>
          <w:szCs w:val="18"/>
        </w:rPr>
        <w:t>.</w:t>
      </w:r>
      <w:r w:rsidRPr="009403DD">
        <w:rPr>
          <w:rFonts w:ascii="宋体" w:hAnsi="宋体" w:hint="eastAsia"/>
          <w:sz w:val="18"/>
          <w:szCs w:val="18"/>
        </w:rPr>
        <w:t>重庆农村</w:t>
      </w:r>
      <w:proofErr w:type="gramStart"/>
      <w:r w:rsidRPr="009403DD">
        <w:rPr>
          <w:rFonts w:ascii="宋体" w:hAnsi="宋体" w:hint="eastAsia"/>
          <w:sz w:val="18"/>
          <w:szCs w:val="18"/>
        </w:rPr>
        <w:t>低保对象</w:t>
      </w:r>
      <w:proofErr w:type="gramEnd"/>
      <w:r w:rsidRPr="009403DD">
        <w:rPr>
          <w:rFonts w:ascii="宋体" w:hAnsi="宋体" w:hint="eastAsia"/>
          <w:sz w:val="18"/>
          <w:szCs w:val="18"/>
        </w:rPr>
        <w:t>选择优化分析</w:t>
      </w:r>
      <w:r>
        <w:rPr>
          <w:rFonts w:ascii="宋体" w:hAnsi="宋体"/>
          <w:sz w:val="18"/>
          <w:szCs w:val="18"/>
        </w:rPr>
        <w:t>[</w:t>
      </w:r>
      <w:r>
        <w:rPr>
          <w:rFonts w:ascii="宋体" w:hAnsi="宋体" w:hint="eastAsia"/>
          <w:sz w:val="18"/>
          <w:szCs w:val="18"/>
        </w:rPr>
        <w:t>D</w:t>
      </w:r>
      <w:r w:rsidRPr="009403DD">
        <w:rPr>
          <w:rFonts w:ascii="宋体" w:hAnsi="宋体"/>
          <w:sz w:val="18"/>
          <w:szCs w:val="18"/>
        </w:rPr>
        <w:t>].</w:t>
      </w:r>
      <w:r w:rsidRPr="009403DD">
        <w:rPr>
          <w:rFonts w:ascii="宋体" w:hAnsi="宋体" w:hint="eastAsia"/>
          <w:sz w:val="18"/>
          <w:szCs w:val="18"/>
        </w:rPr>
        <w:t>重庆</w:t>
      </w:r>
      <w:r w:rsidRPr="009403DD">
        <w:rPr>
          <w:rFonts w:ascii="宋体" w:hAnsi="宋体"/>
          <w:sz w:val="18"/>
          <w:szCs w:val="18"/>
        </w:rPr>
        <w:t>:</w:t>
      </w:r>
      <w:r w:rsidRPr="009403DD">
        <w:rPr>
          <w:rFonts w:ascii="宋体" w:hAnsi="宋体" w:hint="eastAsia"/>
          <w:sz w:val="18"/>
          <w:szCs w:val="18"/>
        </w:rPr>
        <w:t>重庆师</w:t>
      </w:r>
      <w:r>
        <w:rPr>
          <w:rFonts w:ascii="宋体" w:hAnsi="宋体" w:hint="eastAsia"/>
          <w:sz w:val="18"/>
          <w:szCs w:val="18"/>
        </w:rPr>
        <w:t>范</w:t>
      </w:r>
      <w:r w:rsidRPr="009403DD">
        <w:rPr>
          <w:rFonts w:ascii="宋体" w:hAnsi="宋体" w:hint="eastAsia"/>
          <w:sz w:val="18"/>
          <w:szCs w:val="18"/>
        </w:rPr>
        <w:t>大学</w:t>
      </w:r>
      <w:r w:rsidRPr="009403DD">
        <w:rPr>
          <w:rFonts w:ascii="宋体" w:hAnsi="宋体"/>
          <w:sz w:val="18"/>
          <w:szCs w:val="18"/>
        </w:rPr>
        <w:t>,2013</w:t>
      </w:r>
      <w:r w:rsidRPr="009403DD">
        <w:rPr>
          <w:rFonts w:ascii="宋体" w:hAnsi="宋体" w:hint="eastAsia"/>
          <w:sz w:val="18"/>
          <w:szCs w:val="18"/>
        </w:rPr>
        <w:t>年</w:t>
      </w:r>
      <w:r w:rsidRPr="009403DD">
        <w:rPr>
          <w:rFonts w:ascii="宋体" w:hAnsi="宋体"/>
          <w:sz w:val="18"/>
          <w:szCs w:val="18"/>
        </w:rPr>
        <w:t>5</w:t>
      </w:r>
      <w:r w:rsidRPr="009403DD">
        <w:rPr>
          <w:rFonts w:ascii="宋体" w:hAnsi="宋体" w:hint="eastAsia"/>
          <w:sz w:val="18"/>
          <w:szCs w:val="18"/>
        </w:rPr>
        <w:t>月</w:t>
      </w:r>
      <w:r w:rsidRPr="009403DD">
        <w:rPr>
          <w:rFonts w:ascii="宋体" w:hAnsi="宋体"/>
          <w:sz w:val="18"/>
          <w:szCs w:val="18"/>
        </w:rPr>
        <w:t>.</w:t>
      </w:r>
    </w:p>
  </w:footnote>
  <w:footnote w:id="4">
    <w:p w:rsidR="009D0665" w:rsidRDefault="009D0665" w:rsidP="009D0665">
      <w:pPr>
        <w:pStyle w:val="a4"/>
      </w:pPr>
      <w:r>
        <w:rPr>
          <w:rStyle w:val="a5"/>
        </w:rPr>
        <w:footnoteRef/>
      </w:r>
      <w:r>
        <w:rPr>
          <w:rFonts w:ascii="宋体" w:eastAsia="宋体" w:hAnsi="宋体" w:hint="eastAsia"/>
        </w:rPr>
        <w:t xml:space="preserve"> </w:t>
      </w:r>
      <w:r w:rsidRPr="009403DD">
        <w:rPr>
          <w:rFonts w:ascii="宋体" w:eastAsia="宋体" w:hAnsi="宋体" w:hint="eastAsia"/>
        </w:rPr>
        <w:t>伍林生、梁东荣</w:t>
      </w:r>
      <w:r w:rsidRPr="009403DD">
        <w:rPr>
          <w:rFonts w:ascii="宋体" w:eastAsia="宋体" w:hAnsi="宋体"/>
        </w:rPr>
        <w:t xml:space="preserve">. </w:t>
      </w:r>
      <w:proofErr w:type="gramStart"/>
      <w:r w:rsidRPr="009403DD">
        <w:rPr>
          <w:rFonts w:ascii="宋体" w:eastAsia="宋体" w:hAnsi="宋体" w:hint="eastAsia"/>
        </w:rPr>
        <w:t>低保</w:t>
      </w:r>
      <w:proofErr w:type="gramEnd"/>
      <w:r w:rsidRPr="009403DD">
        <w:rPr>
          <w:rFonts w:ascii="宋体" w:eastAsia="宋体" w:hAnsi="宋体"/>
        </w:rPr>
        <w:t xml:space="preserve"> </w:t>
      </w:r>
      <w:r w:rsidRPr="009403DD">
        <w:rPr>
          <w:rFonts w:ascii="宋体" w:eastAsia="宋体" w:hAnsi="宋体" w:hint="eastAsia"/>
        </w:rPr>
        <w:t>中“骗保”现象的原因及对策</w:t>
      </w:r>
      <w:r w:rsidRPr="009403DD">
        <w:rPr>
          <w:rFonts w:ascii="宋体" w:eastAsia="宋体" w:hAnsi="宋体"/>
        </w:rPr>
        <w:t>[J].</w:t>
      </w:r>
      <w:r w:rsidRPr="009403DD">
        <w:rPr>
          <w:rFonts w:ascii="宋体" w:eastAsia="宋体" w:hAnsi="宋体" w:hint="eastAsia"/>
        </w:rPr>
        <w:t>重庆：重庆医科大学</w:t>
      </w:r>
      <w:r w:rsidRPr="009403DD">
        <w:rPr>
          <w:rFonts w:ascii="宋体" w:eastAsia="宋体" w:hAnsi="宋体"/>
        </w:rPr>
        <w:t>,2006</w:t>
      </w:r>
      <w:r w:rsidRPr="009403DD">
        <w:rPr>
          <w:rFonts w:ascii="宋体" w:eastAsia="宋体" w:hAnsi="宋体" w:hint="eastAsia"/>
        </w:rPr>
        <w:t>年</w:t>
      </w:r>
      <w:r w:rsidRPr="009403DD">
        <w:rPr>
          <w:rFonts w:ascii="宋体" w:eastAsia="宋体" w:hAnsi="宋体"/>
        </w:rPr>
        <w:t>4</w:t>
      </w:r>
      <w:r w:rsidRPr="009403DD">
        <w:rPr>
          <w:rFonts w:ascii="宋体" w:eastAsia="宋体" w:hAnsi="宋体" w:hint="eastAsia"/>
        </w:rPr>
        <w:t>月</w:t>
      </w:r>
      <w:r w:rsidRPr="009403DD">
        <w:rPr>
          <w:rFonts w:ascii="宋体" w:eastAsia="宋体" w:hAnsi="宋体"/>
        </w:rPr>
        <w:t>11</w:t>
      </w:r>
      <w:r w:rsidRPr="009403DD">
        <w:rPr>
          <w:rFonts w:ascii="宋体" w:eastAsia="宋体" w:hAnsi="宋体" w:hint="eastAsia"/>
        </w:rPr>
        <w:t>日</w:t>
      </w:r>
      <w:r w:rsidRPr="009403DD">
        <w:rPr>
          <w:rFonts w:ascii="宋体" w:eastAsia="宋体" w:hAnsi="宋体"/>
        </w:rPr>
        <w:t>.</w:t>
      </w:r>
    </w:p>
  </w:footnote>
  <w:footnote w:id="5">
    <w:p w:rsidR="009D0665" w:rsidRPr="009403DD" w:rsidRDefault="009D0665" w:rsidP="009D0665">
      <w:pPr>
        <w:rPr>
          <w:rFonts w:ascii="宋体" w:hAnsi="宋体"/>
          <w:sz w:val="18"/>
          <w:szCs w:val="18"/>
        </w:rPr>
      </w:pPr>
      <w:r>
        <w:rPr>
          <w:rStyle w:val="a5"/>
        </w:rPr>
        <w:footnoteRef/>
      </w:r>
      <w:r>
        <w:rPr>
          <w:rFonts w:ascii="宋体" w:hAnsi="宋体" w:hint="eastAsia"/>
          <w:sz w:val="18"/>
          <w:szCs w:val="18"/>
        </w:rPr>
        <w:t xml:space="preserve"> </w:t>
      </w:r>
      <w:r w:rsidRPr="009403DD">
        <w:rPr>
          <w:rFonts w:ascii="宋体" w:hAnsi="宋体" w:hint="eastAsia"/>
          <w:sz w:val="18"/>
          <w:szCs w:val="18"/>
        </w:rPr>
        <w:t>吴永健. 城市最低生活保障中的逆向选择及道德风险规避</w:t>
      </w:r>
      <w:r>
        <w:rPr>
          <w:rFonts w:ascii="宋体" w:hAnsi="宋体" w:hint="eastAsia"/>
          <w:sz w:val="18"/>
          <w:szCs w:val="18"/>
        </w:rPr>
        <w:t>[D</w:t>
      </w:r>
      <w:r w:rsidRPr="009403DD">
        <w:rPr>
          <w:rFonts w:ascii="宋体" w:hAnsi="宋体" w:hint="eastAsia"/>
          <w:sz w:val="18"/>
          <w:szCs w:val="18"/>
        </w:rPr>
        <w:t>].厦门：厦门大学，2008.4</w:t>
      </w:r>
    </w:p>
  </w:footnote>
  <w:footnote w:id="6">
    <w:p w:rsidR="009D0665" w:rsidRPr="009403DD" w:rsidRDefault="009D0665" w:rsidP="009D0665">
      <w:pPr>
        <w:pStyle w:val="a4"/>
        <w:rPr>
          <w:rFonts w:ascii="宋体" w:eastAsia="宋体" w:hAnsi="宋体"/>
        </w:rPr>
      </w:pPr>
      <w:r>
        <w:rPr>
          <w:rStyle w:val="a5"/>
        </w:rPr>
        <w:footnoteRef/>
      </w:r>
      <w:r>
        <w:rPr>
          <w:rFonts w:ascii="宋体" w:eastAsia="宋体" w:hAnsi="宋体" w:hint="eastAsia"/>
        </w:rPr>
        <w:t xml:space="preserve"> </w:t>
      </w:r>
      <w:r w:rsidRPr="009403DD">
        <w:rPr>
          <w:rFonts w:ascii="宋体" w:eastAsia="宋体" w:hAnsi="宋体" w:hint="eastAsia"/>
        </w:rPr>
        <w:t>彭宅文.最低生活保障制度与救助对象的劳动激励：中国式福利依赖及其调整[J].北京：中国人民大学，2009.5</w:t>
      </w:r>
    </w:p>
    <w:p w:rsidR="009D0665" w:rsidRPr="00183BBD" w:rsidRDefault="009D0665" w:rsidP="009D0665">
      <w:pPr>
        <w:pStyle w:val="a4"/>
      </w:pPr>
    </w:p>
  </w:footnote>
  <w:footnote w:id="7">
    <w:p w:rsidR="009D0665" w:rsidRPr="009403DD" w:rsidRDefault="009D0665" w:rsidP="009D0665">
      <w:pPr>
        <w:spacing w:line="220" w:lineRule="atLeast"/>
        <w:rPr>
          <w:rFonts w:ascii="宋体" w:hAnsi="宋体"/>
          <w:b/>
          <w:sz w:val="18"/>
          <w:szCs w:val="18"/>
        </w:rPr>
      </w:pPr>
      <w:r>
        <w:rPr>
          <w:rStyle w:val="a5"/>
        </w:rPr>
        <w:footnoteRef/>
      </w:r>
      <w:r>
        <w:rPr>
          <w:rFonts w:ascii="宋体" w:hAnsi="宋体" w:hint="eastAsia"/>
          <w:sz w:val="18"/>
          <w:szCs w:val="18"/>
        </w:rPr>
        <w:t xml:space="preserve"> </w:t>
      </w:r>
      <w:proofErr w:type="gramStart"/>
      <w:r w:rsidRPr="009403DD">
        <w:rPr>
          <w:rFonts w:ascii="宋体" w:hAnsi="宋体" w:hint="eastAsia"/>
          <w:sz w:val="18"/>
          <w:szCs w:val="18"/>
        </w:rPr>
        <w:t>曹野</w:t>
      </w:r>
      <w:proofErr w:type="gramEnd"/>
      <w:r w:rsidRPr="009403DD">
        <w:rPr>
          <w:rFonts w:ascii="宋体" w:hAnsi="宋体"/>
          <w:sz w:val="18"/>
          <w:szCs w:val="18"/>
        </w:rPr>
        <w:t>.</w:t>
      </w:r>
      <w:r w:rsidRPr="009403DD">
        <w:rPr>
          <w:rFonts w:ascii="宋体" w:hAnsi="宋体" w:hint="eastAsia"/>
          <w:sz w:val="18"/>
          <w:szCs w:val="18"/>
        </w:rPr>
        <w:t>辽宁省</w:t>
      </w:r>
      <w:r>
        <w:rPr>
          <w:rFonts w:ascii="宋体" w:hAnsi="宋体" w:hint="eastAsia"/>
          <w:sz w:val="18"/>
          <w:szCs w:val="18"/>
        </w:rPr>
        <w:t>城市</w:t>
      </w:r>
      <w:r w:rsidRPr="009403DD">
        <w:rPr>
          <w:rFonts w:ascii="宋体" w:hAnsi="宋体" w:hint="eastAsia"/>
          <w:sz w:val="18"/>
          <w:szCs w:val="18"/>
        </w:rPr>
        <w:t>最低生活保障给付水平研究</w:t>
      </w:r>
      <w:r>
        <w:rPr>
          <w:rFonts w:ascii="宋体" w:hAnsi="宋体"/>
          <w:sz w:val="18"/>
          <w:szCs w:val="18"/>
        </w:rPr>
        <w:t>[</w:t>
      </w:r>
      <w:r>
        <w:rPr>
          <w:rFonts w:ascii="宋体" w:hAnsi="宋体" w:hint="eastAsia"/>
          <w:sz w:val="18"/>
          <w:szCs w:val="18"/>
        </w:rPr>
        <w:t>D</w:t>
      </w:r>
      <w:r w:rsidRPr="009403DD">
        <w:rPr>
          <w:rFonts w:ascii="宋体" w:hAnsi="宋体"/>
          <w:sz w:val="18"/>
          <w:szCs w:val="18"/>
        </w:rPr>
        <w:t>].</w:t>
      </w:r>
      <w:r w:rsidRPr="009403DD">
        <w:rPr>
          <w:rFonts w:ascii="宋体" w:hAnsi="宋体" w:hint="eastAsia"/>
          <w:sz w:val="18"/>
          <w:szCs w:val="18"/>
        </w:rPr>
        <w:t>地点</w:t>
      </w:r>
      <w:r w:rsidRPr="009403DD">
        <w:rPr>
          <w:rFonts w:ascii="宋体" w:hAnsi="宋体"/>
          <w:sz w:val="18"/>
          <w:szCs w:val="18"/>
        </w:rPr>
        <w:t>,2012</w:t>
      </w:r>
    </w:p>
  </w:footnote>
  <w:footnote w:id="8">
    <w:p w:rsidR="009D0665" w:rsidRPr="00183BBD" w:rsidRDefault="009D0665" w:rsidP="009D0665">
      <w:pPr>
        <w:spacing w:line="220" w:lineRule="atLeast"/>
        <w:ind w:left="315" w:hangingChars="150" w:hanging="315"/>
        <w:rPr>
          <w:rFonts w:ascii="宋体" w:hAnsi="宋体"/>
          <w:b/>
          <w:sz w:val="18"/>
          <w:szCs w:val="18"/>
        </w:rPr>
      </w:pPr>
      <w:r>
        <w:rPr>
          <w:rStyle w:val="a5"/>
        </w:rPr>
        <w:footnoteRef/>
      </w:r>
      <w:r>
        <w:rPr>
          <w:rFonts w:ascii="宋体" w:hAnsi="宋体" w:hint="eastAsia"/>
          <w:sz w:val="18"/>
          <w:szCs w:val="18"/>
        </w:rPr>
        <w:t xml:space="preserve"> </w:t>
      </w:r>
      <w:r w:rsidRPr="009403DD">
        <w:rPr>
          <w:rFonts w:ascii="宋体" w:hAnsi="宋体" w:hint="eastAsia"/>
          <w:sz w:val="18"/>
          <w:szCs w:val="18"/>
        </w:rPr>
        <w:t>张时飞，唐钧</w:t>
      </w:r>
      <w:r w:rsidRPr="009403DD">
        <w:rPr>
          <w:rFonts w:ascii="宋体" w:hAnsi="宋体"/>
          <w:sz w:val="18"/>
          <w:szCs w:val="18"/>
        </w:rPr>
        <w:t>.</w:t>
      </w:r>
      <w:r w:rsidRPr="009403DD">
        <w:rPr>
          <w:rFonts w:ascii="宋体" w:hAnsi="宋体" w:hint="eastAsia"/>
          <w:sz w:val="18"/>
          <w:szCs w:val="18"/>
        </w:rPr>
        <w:t>辽宁、河北两省农村最低生活保障制度研究报告</w:t>
      </w:r>
      <w:r w:rsidRPr="009403DD">
        <w:rPr>
          <w:rFonts w:ascii="宋体" w:hAnsi="宋体"/>
          <w:sz w:val="18"/>
          <w:szCs w:val="18"/>
        </w:rPr>
        <w:t>[J].</w:t>
      </w:r>
      <w:r w:rsidRPr="009403DD">
        <w:rPr>
          <w:rFonts w:ascii="宋体" w:hAnsi="宋体" w:hint="eastAsia"/>
          <w:sz w:val="18"/>
          <w:szCs w:val="18"/>
        </w:rPr>
        <w:t>东岳论丛</w:t>
      </w:r>
      <w:r w:rsidRPr="009403DD">
        <w:rPr>
          <w:rFonts w:ascii="宋体" w:hAnsi="宋体"/>
          <w:sz w:val="18"/>
          <w:szCs w:val="18"/>
        </w:rPr>
        <w:t>,2007</w:t>
      </w:r>
    </w:p>
  </w:footnote>
  <w:footnote w:id="9">
    <w:p w:rsidR="009D0665" w:rsidRDefault="009D0665" w:rsidP="009D0665">
      <w:pPr>
        <w:pStyle w:val="a4"/>
      </w:pPr>
      <w:r>
        <w:rPr>
          <w:rStyle w:val="a5"/>
        </w:rPr>
        <w:footnoteRef/>
      </w:r>
      <w:r>
        <w:rPr>
          <w:rFonts w:ascii="宋体" w:eastAsia="宋体" w:hAnsi="宋体" w:hint="eastAsia"/>
        </w:rPr>
        <w:t xml:space="preserve"> </w:t>
      </w:r>
      <w:r w:rsidRPr="009403DD">
        <w:rPr>
          <w:rFonts w:ascii="宋体" w:eastAsia="宋体" w:hAnsi="宋体" w:hint="eastAsia"/>
        </w:rPr>
        <w:t>印凡成，刘丽莹，黄健元</w:t>
      </w:r>
      <w:r w:rsidRPr="009403DD">
        <w:rPr>
          <w:rFonts w:ascii="宋体" w:eastAsia="宋体" w:hAnsi="宋体"/>
        </w:rPr>
        <w:t>.</w:t>
      </w:r>
      <w:r w:rsidRPr="009403DD">
        <w:rPr>
          <w:rFonts w:ascii="宋体" w:eastAsia="宋体" w:hAnsi="宋体" w:hint="eastAsia"/>
        </w:rPr>
        <w:t>城镇居民最低生活保障线的测定</w:t>
      </w:r>
      <w:r w:rsidRPr="009403DD">
        <w:rPr>
          <w:rFonts w:ascii="宋体" w:eastAsia="宋体" w:hAnsi="宋体"/>
        </w:rPr>
        <w:t xml:space="preserve">[J]. </w:t>
      </w:r>
      <w:r w:rsidRPr="009403DD">
        <w:rPr>
          <w:rFonts w:ascii="宋体" w:eastAsia="宋体" w:hAnsi="宋体" w:hint="eastAsia"/>
        </w:rPr>
        <w:t>统计与决策</w:t>
      </w:r>
      <w:r w:rsidRPr="009403DD">
        <w:rPr>
          <w:rFonts w:ascii="宋体" w:eastAsia="宋体" w:hAnsi="宋体"/>
        </w:rPr>
        <w:t>.2011</w:t>
      </w:r>
    </w:p>
  </w:footnote>
  <w:footnote w:id="10">
    <w:p w:rsidR="009D0665" w:rsidRPr="009403DD" w:rsidRDefault="009D0665" w:rsidP="009D0665">
      <w:pPr>
        <w:ind w:left="315" w:hangingChars="150" w:hanging="315"/>
        <w:rPr>
          <w:sz w:val="18"/>
          <w:szCs w:val="18"/>
        </w:rPr>
      </w:pPr>
      <w:r>
        <w:rPr>
          <w:rStyle w:val="a5"/>
        </w:rPr>
        <w:footnoteRef/>
      </w:r>
      <w:r>
        <w:rPr>
          <w:rFonts w:ascii="宋体" w:hAnsi="宋体" w:hint="eastAsia"/>
          <w:sz w:val="18"/>
          <w:szCs w:val="18"/>
        </w:rPr>
        <w:t>秦建</w:t>
      </w:r>
      <w:r w:rsidRPr="009403DD">
        <w:rPr>
          <w:rFonts w:ascii="宋体" w:hAnsi="宋体" w:hint="eastAsia"/>
          <w:sz w:val="18"/>
          <w:szCs w:val="18"/>
        </w:rPr>
        <w:t>龙</w:t>
      </w:r>
      <w:r w:rsidRPr="009403DD">
        <w:rPr>
          <w:rFonts w:ascii="宋体" w:hAnsi="宋体"/>
          <w:sz w:val="18"/>
          <w:szCs w:val="18"/>
        </w:rPr>
        <w:t>.</w:t>
      </w:r>
      <w:r w:rsidRPr="009403DD">
        <w:rPr>
          <w:rFonts w:ascii="宋体" w:hAnsi="宋体" w:hint="eastAsia"/>
          <w:sz w:val="18"/>
          <w:szCs w:val="18"/>
        </w:rPr>
        <w:t>基于扩展线性支出模型的城镇居民低生活保障标准调整研究</w:t>
      </w:r>
      <w:r w:rsidRPr="009403DD">
        <w:rPr>
          <w:rFonts w:ascii="宋体" w:hAnsi="宋体"/>
          <w:sz w:val="18"/>
          <w:szCs w:val="18"/>
        </w:rPr>
        <w:t xml:space="preserve"> [D].</w:t>
      </w:r>
      <w:r w:rsidRPr="009403DD">
        <w:rPr>
          <w:rFonts w:ascii="宋体" w:hAnsi="宋体" w:hint="eastAsia"/>
          <w:sz w:val="18"/>
          <w:szCs w:val="18"/>
        </w:rPr>
        <w:t>浙江：浙江财经学院，</w:t>
      </w:r>
      <w:r w:rsidRPr="009403DD">
        <w:rPr>
          <w:rFonts w:ascii="宋体" w:hAnsi="宋体"/>
          <w:sz w:val="18"/>
          <w:szCs w:val="18"/>
        </w:rPr>
        <w:t>2012.12.</w:t>
      </w:r>
    </w:p>
  </w:footnote>
  <w:footnote w:id="11">
    <w:p w:rsidR="009D0665" w:rsidRPr="009403DD" w:rsidRDefault="009D0665" w:rsidP="009D0665">
      <w:pPr>
        <w:spacing w:line="220" w:lineRule="atLeast"/>
        <w:ind w:left="315" w:hangingChars="150" w:hanging="315"/>
        <w:rPr>
          <w:rFonts w:ascii="宋体" w:hAnsi="宋体"/>
          <w:b/>
          <w:sz w:val="18"/>
          <w:szCs w:val="18"/>
        </w:rPr>
      </w:pPr>
      <w:r>
        <w:rPr>
          <w:rStyle w:val="a5"/>
        </w:rPr>
        <w:footnoteRef/>
      </w:r>
      <w:r>
        <w:rPr>
          <w:rFonts w:ascii="宋体" w:hAnsi="宋体" w:hint="eastAsia"/>
          <w:sz w:val="18"/>
          <w:szCs w:val="18"/>
        </w:rPr>
        <w:t xml:space="preserve"> </w:t>
      </w:r>
      <w:r w:rsidRPr="009403DD">
        <w:rPr>
          <w:rFonts w:ascii="宋体" w:hAnsi="宋体" w:hint="eastAsia"/>
          <w:sz w:val="18"/>
          <w:szCs w:val="18"/>
        </w:rPr>
        <w:t>刘黎明</w:t>
      </w:r>
      <w:r w:rsidRPr="009403DD">
        <w:rPr>
          <w:rFonts w:ascii="宋体" w:hAnsi="宋体"/>
          <w:sz w:val="18"/>
          <w:szCs w:val="18"/>
        </w:rPr>
        <w:t>,</w:t>
      </w:r>
      <w:r w:rsidRPr="009403DD">
        <w:rPr>
          <w:rFonts w:ascii="宋体" w:hAnsi="宋体" w:hint="eastAsia"/>
          <w:sz w:val="18"/>
          <w:szCs w:val="18"/>
        </w:rPr>
        <w:t>梁志军</w:t>
      </w:r>
      <w:r w:rsidRPr="009403DD">
        <w:rPr>
          <w:rFonts w:ascii="宋体" w:hAnsi="宋体"/>
          <w:sz w:val="18"/>
          <w:szCs w:val="18"/>
        </w:rPr>
        <w:t>.</w:t>
      </w:r>
      <w:r w:rsidRPr="009403DD">
        <w:rPr>
          <w:rFonts w:ascii="宋体" w:hAnsi="宋体" w:hint="eastAsia"/>
          <w:sz w:val="18"/>
          <w:szCs w:val="18"/>
        </w:rPr>
        <w:t>最低生活保障线的收入分布函数测算方法</w:t>
      </w:r>
      <w:r>
        <w:rPr>
          <w:rFonts w:ascii="宋体" w:hAnsi="宋体" w:hint="eastAsia"/>
          <w:sz w:val="18"/>
          <w:szCs w:val="18"/>
        </w:rPr>
        <w:t>[J]</w:t>
      </w:r>
      <w:r w:rsidRPr="009403DD">
        <w:rPr>
          <w:rFonts w:ascii="宋体" w:hAnsi="宋体"/>
          <w:sz w:val="18"/>
          <w:szCs w:val="18"/>
        </w:rPr>
        <w:t>2008</w:t>
      </w:r>
      <w:r>
        <w:rPr>
          <w:rFonts w:ascii="宋体" w:hAnsi="宋体" w:hint="eastAsia"/>
          <w:sz w:val="18"/>
          <w:szCs w:val="18"/>
        </w:rPr>
        <w:t>.</w:t>
      </w:r>
      <w:r>
        <w:rPr>
          <w:rFonts w:ascii="宋体" w:hAnsi="宋体"/>
          <w:sz w:val="18"/>
          <w:szCs w:val="18"/>
        </w:rPr>
        <w:t>4</w:t>
      </w:r>
    </w:p>
    <w:p w:rsidR="009D0665" w:rsidRPr="009403DD" w:rsidRDefault="009D0665" w:rsidP="009D0665">
      <w:pPr>
        <w:ind w:left="195" w:hangingChars="150" w:hanging="195"/>
        <w:rPr>
          <w:sz w:val="18"/>
          <w:szCs w:val="18"/>
        </w:rPr>
      </w:pPr>
      <w:r>
        <w:rPr>
          <w:rFonts w:hint="eastAsia"/>
          <w:sz w:val="13"/>
          <w:szCs w:val="13"/>
        </w:rPr>
        <w:t xml:space="preserve">13  </w:t>
      </w:r>
      <w:r w:rsidRPr="009403DD">
        <w:rPr>
          <w:rFonts w:ascii="宋体" w:hAnsi="宋体" w:hint="eastAsia"/>
          <w:sz w:val="18"/>
          <w:szCs w:val="18"/>
        </w:rPr>
        <w:t>梁木</w:t>
      </w:r>
      <w:r w:rsidRPr="009403DD">
        <w:rPr>
          <w:rFonts w:ascii="宋体" w:hAnsi="宋体"/>
          <w:sz w:val="18"/>
          <w:szCs w:val="18"/>
        </w:rPr>
        <w:t>,</w:t>
      </w:r>
      <w:r w:rsidRPr="009403DD">
        <w:rPr>
          <w:rFonts w:ascii="宋体" w:hAnsi="宋体" w:hint="eastAsia"/>
          <w:sz w:val="18"/>
          <w:szCs w:val="18"/>
        </w:rPr>
        <w:t>李向伟</w:t>
      </w:r>
      <w:r w:rsidRPr="009403DD">
        <w:rPr>
          <w:rFonts w:ascii="宋体" w:hAnsi="宋体"/>
          <w:sz w:val="18"/>
          <w:szCs w:val="18"/>
        </w:rPr>
        <w:t>.</w:t>
      </w:r>
      <w:r w:rsidRPr="009403DD">
        <w:rPr>
          <w:rFonts w:ascii="宋体" w:hAnsi="宋体" w:hint="eastAsia"/>
          <w:sz w:val="18"/>
          <w:szCs w:val="18"/>
        </w:rPr>
        <w:t>西安市居民最低生活保障标准的测算与定位</w:t>
      </w:r>
      <w:r w:rsidRPr="009403DD">
        <w:rPr>
          <w:rFonts w:ascii="宋体" w:hAnsi="宋体"/>
          <w:sz w:val="18"/>
          <w:szCs w:val="18"/>
        </w:rPr>
        <w:t xml:space="preserve"> [J].</w:t>
      </w:r>
      <w:r w:rsidRPr="009403DD">
        <w:rPr>
          <w:rFonts w:ascii="宋体" w:hAnsi="宋体" w:hint="eastAsia"/>
          <w:sz w:val="18"/>
          <w:szCs w:val="18"/>
        </w:rPr>
        <w:t>西安邮电学院学报</w:t>
      </w:r>
      <w:r w:rsidRPr="009403DD">
        <w:rPr>
          <w:rFonts w:ascii="宋体" w:hAnsi="宋体"/>
          <w:sz w:val="18"/>
          <w:szCs w:val="18"/>
        </w:rPr>
        <w:t>,2007.12.</w:t>
      </w:r>
    </w:p>
  </w:footnote>
  <w:footnote w:id="12">
    <w:p w:rsidR="009D0665" w:rsidRPr="009403DD" w:rsidRDefault="009D0665" w:rsidP="009D0665">
      <w:pPr>
        <w:pStyle w:val="a4"/>
        <w:rPr>
          <w:sz w:val="13"/>
          <w:szCs w:val="13"/>
        </w:rPr>
      </w:pPr>
    </w:p>
  </w:footnote>
  <w:footnote w:id="13">
    <w:p w:rsidR="009D0665" w:rsidRDefault="009D0665" w:rsidP="009D0665">
      <w:pPr>
        <w:pStyle w:val="a4"/>
      </w:pPr>
      <w:r>
        <w:rPr>
          <w:rStyle w:val="a5"/>
        </w:rPr>
        <w:footnoteRef/>
      </w:r>
      <w:r>
        <w:rPr>
          <w:rFonts w:ascii="宋体" w:eastAsia="宋体" w:hAnsi="宋体" w:hint="eastAsia"/>
        </w:rPr>
        <w:t xml:space="preserve"> </w:t>
      </w:r>
      <w:proofErr w:type="gramStart"/>
      <w:r w:rsidRPr="009403DD">
        <w:rPr>
          <w:rFonts w:ascii="宋体" w:eastAsia="宋体" w:hAnsi="宋体" w:hint="eastAsia"/>
        </w:rPr>
        <w:t>王天夫</w:t>
      </w:r>
      <w:proofErr w:type="gramEnd"/>
      <w:r w:rsidRPr="009403DD">
        <w:rPr>
          <w:rFonts w:ascii="宋体" w:eastAsia="宋体" w:hAnsi="宋体"/>
        </w:rPr>
        <w:t>,</w:t>
      </w:r>
      <w:r w:rsidRPr="009403DD">
        <w:rPr>
          <w:rFonts w:ascii="宋体" w:eastAsia="宋体" w:hAnsi="宋体" w:hint="eastAsia"/>
        </w:rPr>
        <w:t>崔晓雄</w:t>
      </w:r>
      <w:r>
        <w:rPr>
          <w:rFonts w:ascii="宋体" w:eastAsia="宋体" w:hAnsi="宋体"/>
        </w:rPr>
        <w:t>.</w:t>
      </w:r>
      <w:r w:rsidRPr="009403DD">
        <w:rPr>
          <w:rFonts w:ascii="宋体" w:eastAsia="宋体" w:hAnsi="宋体" w:hint="eastAsia"/>
        </w:rPr>
        <w:t>行业是如何影响收入的</w:t>
      </w:r>
      <w:r w:rsidRPr="009403DD">
        <w:rPr>
          <w:rFonts w:ascii="宋体" w:eastAsia="宋体" w:hAnsi="宋体"/>
        </w:rPr>
        <w:t>_</w:t>
      </w:r>
      <w:r w:rsidRPr="009403DD">
        <w:rPr>
          <w:rFonts w:ascii="宋体" w:eastAsia="宋体" w:hAnsi="宋体" w:hint="eastAsia"/>
        </w:rPr>
        <w:t>基于多层线性模型的分析</w:t>
      </w:r>
      <w:r w:rsidRPr="009403DD">
        <w:rPr>
          <w:rFonts w:ascii="宋体" w:eastAsia="宋体" w:hAnsi="宋体"/>
        </w:rPr>
        <w:t>[J].</w:t>
      </w:r>
      <w:r w:rsidRPr="009403DD">
        <w:rPr>
          <w:rFonts w:ascii="宋体" w:eastAsia="宋体" w:hAnsi="宋体" w:hint="eastAsia"/>
        </w:rPr>
        <w:t>中国社会科学</w:t>
      </w:r>
      <w:r w:rsidRPr="009403DD">
        <w:rPr>
          <w:rFonts w:ascii="宋体" w:eastAsia="宋体" w:hAnsi="宋体"/>
        </w:rPr>
        <w:t>,2010.9</w:t>
      </w:r>
    </w:p>
  </w:footnote>
  <w:footnote w:id="14">
    <w:p w:rsidR="009D0665" w:rsidRPr="00183BBD" w:rsidRDefault="009D0665" w:rsidP="009D0665">
      <w:pPr>
        <w:pStyle w:val="a4"/>
      </w:pPr>
      <w:r>
        <w:rPr>
          <w:rStyle w:val="a5"/>
        </w:rPr>
        <w:footnoteRef/>
      </w:r>
      <w:r>
        <w:rPr>
          <w:rFonts w:ascii="宋体" w:eastAsia="宋体" w:hAnsi="宋体" w:hint="eastAsia"/>
        </w:rPr>
        <w:t xml:space="preserve"> </w:t>
      </w:r>
      <w:r w:rsidRPr="009403DD">
        <w:rPr>
          <w:rFonts w:ascii="宋体" w:eastAsia="宋体" w:hAnsi="宋体" w:hint="eastAsia"/>
        </w:rPr>
        <w:t>孙海涛</w:t>
      </w:r>
      <w:r w:rsidRPr="009403DD">
        <w:rPr>
          <w:rFonts w:ascii="宋体" w:eastAsia="宋体" w:hAnsi="宋体"/>
        </w:rPr>
        <w:t xml:space="preserve">. </w:t>
      </w:r>
      <w:r w:rsidRPr="009403DD">
        <w:rPr>
          <w:rFonts w:ascii="宋体" w:eastAsia="宋体" w:hAnsi="宋体" w:hint="eastAsia"/>
        </w:rPr>
        <w:t>城镇居民可支配收入与消费支出关系</w:t>
      </w:r>
      <w:proofErr w:type="gramStart"/>
      <w:r w:rsidRPr="009403DD">
        <w:rPr>
          <w:rFonts w:ascii="宋体" w:eastAsia="宋体" w:hAnsi="宋体" w:hint="eastAsia"/>
        </w:rPr>
        <w:t>协整分析</w:t>
      </w:r>
      <w:proofErr w:type="gramEnd"/>
      <w:r w:rsidRPr="009403DD">
        <w:rPr>
          <w:rFonts w:ascii="宋体" w:eastAsia="宋体" w:hAnsi="宋体"/>
        </w:rPr>
        <w:t>[A].2010</w:t>
      </w:r>
    </w:p>
  </w:footnote>
  <w:footnote w:id="15">
    <w:p w:rsidR="009D0665" w:rsidRPr="009403DD" w:rsidRDefault="009D0665" w:rsidP="009D0665">
      <w:pPr>
        <w:spacing w:line="220" w:lineRule="atLeast"/>
        <w:ind w:left="420" w:hangingChars="200" w:hanging="420"/>
        <w:rPr>
          <w:rFonts w:ascii="宋体" w:hAnsi="宋体"/>
          <w:sz w:val="18"/>
          <w:szCs w:val="18"/>
        </w:rPr>
      </w:pPr>
      <w:r>
        <w:rPr>
          <w:rStyle w:val="a5"/>
        </w:rPr>
        <w:footnoteRef/>
      </w:r>
      <w:r>
        <w:rPr>
          <w:rFonts w:ascii="宋体" w:hAnsi="宋体" w:hint="eastAsia"/>
          <w:sz w:val="18"/>
          <w:szCs w:val="18"/>
        </w:rPr>
        <w:t xml:space="preserve"> </w:t>
      </w:r>
      <w:r w:rsidRPr="009403DD">
        <w:rPr>
          <w:rFonts w:ascii="宋体" w:hAnsi="宋体" w:hint="eastAsia"/>
          <w:sz w:val="18"/>
          <w:szCs w:val="18"/>
        </w:rPr>
        <w:t>李红梅</w:t>
      </w:r>
      <w:r w:rsidRPr="009403DD">
        <w:rPr>
          <w:rFonts w:ascii="宋体" w:hAnsi="宋体"/>
          <w:sz w:val="18"/>
          <w:szCs w:val="18"/>
        </w:rPr>
        <w:t xml:space="preserve">. </w:t>
      </w:r>
      <w:r w:rsidRPr="009403DD">
        <w:rPr>
          <w:rFonts w:ascii="宋体" w:hAnsi="宋体" w:hint="eastAsia"/>
          <w:sz w:val="18"/>
          <w:szCs w:val="18"/>
        </w:rPr>
        <w:t>基于半参数分位数回归的居民个人收入研究</w:t>
      </w:r>
      <w:r w:rsidRPr="009403DD">
        <w:rPr>
          <w:rFonts w:ascii="宋体" w:hAnsi="宋体"/>
          <w:sz w:val="18"/>
          <w:szCs w:val="18"/>
        </w:rPr>
        <w:t>[J].</w:t>
      </w:r>
      <w:r w:rsidRPr="009403DD">
        <w:rPr>
          <w:rFonts w:ascii="宋体" w:hAnsi="宋体" w:hint="eastAsia"/>
          <w:sz w:val="18"/>
          <w:szCs w:val="18"/>
        </w:rPr>
        <w:t>数学的实践与认识</w:t>
      </w:r>
      <w:r w:rsidRPr="009403DD">
        <w:rPr>
          <w:rFonts w:ascii="宋体" w:hAnsi="宋体"/>
          <w:sz w:val="18"/>
          <w:szCs w:val="18"/>
        </w:rPr>
        <w:t>,2012.4</w:t>
      </w:r>
    </w:p>
    <w:p w:rsidR="009D0665" w:rsidRPr="009403DD" w:rsidRDefault="009D0665" w:rsidP="009D0665">
      <w:pPr>
        <w:pStyle w:val="a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665"/>
    <w:rsid w:val="001E6E3C"/>
    <w:rsid w:val="00817F66"/>
    <w:rsid w:val="009D0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65"/>
    <w:pPr>
      <w:widowControl w:val="0"/>
      <w:jc w:val="both"/>
    </w:pPr>
    <w:rPr>
      <w:rFonts w:ascii="Times New Roman" w:eastAsia="宋体" w:hAnsi="Times New Roman" w:cs="Times New Roman"/>
      <w:szCs w:val="24"/>
    </w:rPr>
  </w:style>
  <w:style w:type="paragraph" w:styleId="2">
    <w:name w:val="heading 2"/>
    <w:basedOn w:val="a"/>
    <w:next w:val="a"/>
    <w:link w:val="2Char"/>
    <w:qFormat/>
    <w:rsid w:val="009D066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9D0665"/>
    <w:rPr>
      <w:rFonts w:ascii="Arial" w:eastAsia="黑体" w:hAnsi="Arial" w:cs="Times New Roman"/>
      <w:b/>
      <w:bCs/>
      <w:sz w:val="32"/>
      <w:szCs w:val="32"/>
    </w:rPr>
  </w:style>
  <w:style w:type="paragraph" w:styleId="a3">
    <w:name w:val="Body Text Indent"/>
    <w:basedOn w:val="a"/>
    <w:link w:val="Char"/>
    <w:rsid w:val="009D0665"/>
    <w:pPr>
      <w:ind w:firstLine="465"/>
    </w:pPr>
    <w:rPr>
      <w:rFonts w:ascii="宋体" w:hAnsi="新宋体"/>
      <w:szCs w:val="21"/>
    </w:rPr>
  </w:style>
  <w:style w:type="character" w:customStyle="1" w:styleId="Char">
    <w:name w:val="正文文本缩进 Char"/>
    <w:basedOn w:val="a0"/>
    <w:link w:val="a3"/>
    <w:rsid w:val="009D0665"/>
    <w:rPr>
      <w:rFonts w:ascii="宋体" w:eastAsia="宋体" w:hAnsi="新宋体" w:cs="Times New Roman"/>
      <w:szCs w:val="21"/>
    </w:rPr>
  </w:style>
  <w:style w:type="paragraph" w:styleId="a4">
    <w:name w:val="footnote text"/>
    <w:basedOn w:val="a"/>
    <w:link w:val="Char0"/>
    <w:uiPriority w:val="99"/>
    <w:rsid w:val="009D0665"/>
    <w:pPr>
      <w:widowControl/>
      <w:adjustRightInd w:val="0"/>
      <w:snapToGrid w:val="0"/>
      <w:spacing w:after="200"/>
      <w:jc w:val="left"/>
    </w:pPr>
    <w:rPr>
      <w:rFonts w:ascii="Tahoma" w:eastAsia="微软雅黑" w:hAnsi="Tahoma"/>
      <w:kern w:val="0"/>
      <w:sz w:val="18"/>
      <w:szCs w:val="18"/>
    </w:rPr>
  </w:style>
  <w:style w:type="character" w:customStyle="1" w:styleId="Char0">
    <w:name w:val="脚注文本 Char"/>
    <w:basedOn w:val="a0"/>
    <w:link w:val="a4"/>
    <w:uiPriority w:val="99"/>
    <w:rsid w:val="009D0665"/>
    <w:rPr>
      <w:rFonts w:ascii="Tahoma" w:eastAsia="微软雅黑" w:hAnsi="Tahoma" w:cs="Times New Roman"/>
      <w:kern w:val="0"/>
      <w:sz w:val="18"/>
      <w:szCs w:val="18"/>
    </w:rPr>
  </w:style>
  <w:style w:type="character" w:styleId="a5">
    <w:name w:val="footnote reference"/>
    <w:uiPriority w:val="99"/>
    <w:rsid w:val="009D066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65"/>
    <w:pPr>
      <w:widowControl w:val="0"/>
      <w:jc w:val="both"/>
    </w:pPr>
    <w:rPr>
      <w:rFonts w:ascii="Times New Roman" w:eastAsia="宋体" w:hAnsi="Times New Roman" w:cs="Times New Roman"/>
      <w:szCs w:val="24"/>
    </w:rPr>
  </w:style>
  <w:style w:type="paragraph" w:styleId="2">
    <w:name w:val="heading 2"/>
    <w:basedOn w:val="a"/>
    <w:next w:val="a"/>
    <w:link w:val="2Char"/>
    <w:qFormat/>
    <w:rsid w:val="009D066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9D0665"/>
    <w:rPr>
      <w:rFonts w:ascii="Arial" w:eastAsia="黑体" w:hAnsi="Arial" w:cs="Times New Roman"/>
      <w:b/>
      <w:bCs/>
      <w:sz w:val="32"/>
      <w:szCs w:val="32"/>
    </w:rPr>
  </w:style>
  <w:style w:type="paragraph" w:styleId="a3">
    <w:name w:val="Body Text Indent"/>
    <w:basedOn w:val="a"/>
    <w:link w:val="Char"/>
    <w:rsid w:val="009D0665"/>
    <w:pPr>
      <w:ind w:firstLine="465"/>
    </w:pPr>
    <w:rPr>
      <w:rFonts w:ascii="宋体" w:hAnsi="新宋体"/>
      <w:szCs w:val="21"/>
    </w:rPr>
  </w:style>
  <w:style w:type="character" w:customStyle="1" w:styleId="Char">
    <w:name w:val="正文文本缩进 Char"/>
    <w:basedOn w:val="a0"/>
    <w:link w:val="a3"/>
    <w:rsid w:val="009D0665"/>
    <w:rPr>
      <w:rFonts w:ascii="宋体" w:eastAsia="宋体" w:hAnsi="新宋体" w:cs="Times New Roman"/>
      <w:szCs w:val="21"/>
    </w:rPr>
  </w:style>
  <w:style w:type="paragraph" w:styleId="a4">
    <w:name w:val="footnote text"/>
    <w:basedOn w:val="a"/>
    <w:link w:val="Char0"/>
    <w:uiPriority w:val="99"/>
    <w:rsid w:val="009D0665"/>
    <w:pPr>
      <w:widowControl/>
      <w:adjustRightInd w:val="0"/>
      <w:snapToGrid w:val="0"/>
      <w:spacing w:after="200"/>
      <w:jc w:val="left"/>
    </w:pPr>
    <w:rPr>
      <w:rFonts w:ascii="Tahoma" w:eastAsia="微软雅黑" w:hAnsi="Tahoma"/>
      <w:kern w:val="0"/>
      <w:sz w:val="18"/>
      <w:szCs w:val="18"/>
    </w:rPr>
  </w:style>
  <w:style w:type="character" w:customStyle="1" w:styleId="Char0">
    <w:name w:val="脚注文本 Char"/>
    <w:basedOn w:val="a0"/>
    <w:link w:val="a4"/>
    <w:uiPriority w:val="99"/>
    <w:rsid w:val="009D0665"/>
    <w:rPr>
      <w:rFonts w:ascii="Tahoma" w:eastAsia="微软雅黑" w:hAnsi="Tahoma" w:cs="Times New Roman"/>
      <w:kern w:val="0"/>
      <w:sz w:val="18"/>
      <w:szCs w:val="18"/>
    </w:rPr>
  </w:style>
  <w:style w:type="character" w:styleId="a5">
    <w:name w:val="footnote reference"/>
    <w:uiPriority w:val="99"/>
    <w:rsid w:val="009D066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cp:revision>
  <dcterms:created xsi:type="dcterms:W3CDTF">2018-11-16T01:12:00Z</dcterms:created>
  <dcterms:modified xsi:type="dcterms:W3CDTF">2018-11-16T01:13:00Z</dcterms:modified>
</cp:coreProperties>
</file>